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9" w:firstLine="708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№1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ТВЕРЖДЕНО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1466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  <w:t xml:space="preserve">ПОЛОЖЕНИЕ</w:t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проведении муниципального этапа конкурса педагогического мастерства в номин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ациях «Учитель года - 2023», «Воспитатель года - 2023», «Педагогический дебют-2023», «Воспитатель школы-интерната- 2023», «Педагог дополнительного образования - 2023»   </w:t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Учредителем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школы-интерната- 2023», «Педагог дополнительного образования - 2023» 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другие.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округе, изданных во исполнение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erif" w:hAnsi="Liberation Serif" w:cs="Liberation Serif" w:eastAsia="Liberation Serif"/>
            <w:sz w:val="28"/>
            <w:szCs w:val="28"/>
            <w:lang w:bidi="ru-RU"/>
          </w:rPr>
          <w:t xml:space="preserve">3.3</w:t>
        </w:r>
      </w:hyperlink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1.6.4. победитель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участник конкурса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занявший 1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место по итогам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2, 3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места по результатам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представителей педагогических коллективов образовательных организаций,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педагогов-победителей профессиональных конкурсов прошлых лет, представителей родительской и ученической общественности.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Участники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конкретной номинации.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2.2. В муниципальном этапе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могут принять участие победители и призеры официальных профессиональных конкурсов муниципального, регионального и всероссийского уровней.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2.3.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участию 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онкурсе не допускаются: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лица, 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счетной комиссии;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не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каждой номинации.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Организация проведения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1" w:name="Par89"/>
      <w:r/>
      <w:bookmarkEnd w:id="1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Ср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утве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Прием докумен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оргкомитетом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 14 дней до начала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Документы и Материалы представляются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708"/>
        <w:jc w:val="both"/>
        <w:rPr>
          <w:rFonts w:ascii="Liberation Serif" w:hAnsi="Liberation Serif" w:cs="Liberation Serif" w:eastAsia="Liberation Serif"/>
          <w:color w:val="000000"/>
        </w:rPr>
      </w:pPr>
      <w:r/>
      <w:bookmarkStart w:id="2" w:name="Par92"/>
      <w:r/>
      <w:bookmarkEnd w:id="2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создается оргкомитет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3" w:name="Par93"/>
      <w:r/>
      <w:bookmarkEnd w:id="3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Оргкомитет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в том числе на сайте;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инструктирует его;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решает необходимые организационные вопросы.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заместителе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Опре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деление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5.1.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Оценивание конкур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6.1. Нагр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Победители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сувениром в соответствии с номинацией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денежной выплатой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 Призеры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денежной выплатой.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6.5. Информация о результатах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Финансирование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Финансирование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предусмотренных </w:t>
      </w:r>
      <w:r>
        <w:rPr>
          <w:rFonts w:ascii="Liberation Serif" w:hAnsi="Liberation Serif" w:cs="Liberation Serif" w:eastAsia="Liberation Serif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Расходы по командированию участников,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Для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/>
    </w:p>
    <w:p>
      <w:pPr>
        <w:pStyle w:val="1026"/>
        <w:jc w:val="right"/>
        <w:rPr>
          <w:rFonts w:ascii="Liberation Serif" w:hAnsi="Liberation Serif" w:cs="Liberation Serif" w:eastAsia="Liberation Serif"/>
          <w:lang w:bidi="ru-RU"/>
        </w:rPr>
        <w:outlineLvl w:val="0"/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eastAsia="Liberation Serif"/>
        </w:rPr>
        <w:br w:type="page" w:clear="all"/>
      </w:r>
      <w:r>
        <w:rPr>
          <w:rFonts w:ascii="Liberation Serif" w:hAnsi="Liberation Serif" w:eastAsia="Liberation Serif"/>
        </w:rPr>
        <w:t xml:space="preserve">                                                     </w:t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№4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ind w:right="-21"/>
        <w:rPr>
          <w:rFonts w:ascii="Liberation Serif" w:hAnsi="Liberation Serif" w:cs="Liberation Serif" w:eastAsia="Liberation Serif"/>
          <w:color w:val="C00000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color w:val="C00000"/>
          <w:spacing w:val="4"/>
          <w:sz w:val="28"/>
          <w:szCs w:val="28"/>
          <w:lang w:eastAsia="en-US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РЕГЛАМЕНТ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проведения муниципального этапа конкурса педагогического мастерства в номинации «Педагогический дебют - 2023»</w:t>
      </w:r>
      <w:r/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I. Общие положения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«Педагогический дебют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- Регламент) определяет порядок организации и проведения конкурса в Тазовском районе.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Регламент устанавливает: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состав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перечень документов и материалов, предъявляемых претендентами для участия в конкурсе;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структуру конкурсных испытаний, формат их проведения;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алгоритм подсчета результатов и определения победителей и призеров;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награждение победителей и призеров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номинациях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 - 2023», «Педагог дополнительного образования - 2023» и др. (далее – Положение).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II. Термины, определения и сокращения</w:t>
      </w:r>
      <w:r/>
    </w:p>
    <w:p>
      <w:pPr>
        <w:numPr>
          <w:ilvl w:val="0"/>
          <w:numId w:val="31"/>
        </w:numPr>
        <w:ind w:firstLine="500"/>
        <w:jc w:val="both"/>
        <w:spacing w:line="283" w:lineRule="exact"/>
        <w:widowControl w:val="off"/>
        <w:tabs>
          <w:tab w:val="left" w:pos="884" w:leader="none"/>
        </w:tabs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При организации и проведении конкурса в номинации «Педагогический дебют - 2023» используются следующие термины, дополняющие термины, указанные в Положении: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Молод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ые педагоги - педагогические работники образовательных организаций Тазовского района, педагогический стаж которых не превышает 5 лет и руководители (заместители руководителей) образовательных организаций автономного округа, стаж которых не превышает 3 лет.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Состав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Жюри является представительным и публичным органом конкурса, который обеспечивает общественное доверие, статус и авторитет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соответствии со спецификой номинации в жюри включаются представители департамента образования Администрации Тазовского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района,  педагоги, имеющие положительный опыт наставничества, победители, призёры, лауреаты и участники конкурса в номинации «Педагогический дебют» предыдущих лет, приглашенные специалисты, ученическая общественность.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составе жюри должно быть не менее 5 человек.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Добровольная замена члена ж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юри возможна по согласованию с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 до начала проведения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3.5.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Замена одного члена жюри другим по ходу конкурса не допускается.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3.6.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При выбытии из состава жюри одного из членов по ходу конкурсных исп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ытаний по причинам, признанным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3.7.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 жюри конкурса в номинации «Педагогический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дебют - 2023» не могут входить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близкие родственники участников конкурса;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наставники участников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3.8.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Для оценивания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отдельных конкурсных испытаний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 имеет право ставить разный состав жюри и создавать предметное жюри в зависимости от специфики испытания. 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lang w:bidi="ru-RU" w:eastAsia="zh-CN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IV. Участники конкурса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4.1. Принять участие в конкурсе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«Педагогический дебют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могут педагогические работники образовательных организаций Тазовского района, которые являются победителями институци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онального этапа конкурса или призерами институционального этапа конкурса (при наличии письменного отказа со стороны победителя), а также победителями и призерами официальных профессиональных конкурсов муниципального, регионального и всероссийского уровней.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4.2.  Конкурс проводится по следующим номинациям: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учителя»;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педагоги-организаторы»;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педагоги-психологи, учителя-логопеды»;</w:t>
      </w:r>
      <w:r/>
    </w:p>
    <w:p>
      <w:pPr>
        <w:ind w:left="708" w:firstLine="1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педагоги дополнительного образования»;</w:t>
      </w:r>
      <w:r/>
    </w:p>
    <w:p>
      <w:pPr>
        <w:ind w:left="708" w:firstLine="1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воспитатели дошкольных образовательных организаций»; «Молодые руководители образовательных организаций».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4.3. Претенденты на участие в конкурсе должны пройти электронную регистрацию </w:t>
      </w:r>
      <w:r>
        <w:rPr>
          <w:rFonts w:ascii="Liberation Serif" w:hAnsi="Liberation Serif" w:cs="Arial"/>
          <w:sz w:val="28"/>
          <w:szCs w:val="28"/>
        </w:rPr>
        <w:t xml:space="preserve">на 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4.4. Для участия в конкурсе претенденты оформляют заявку и пакет документов и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атериалов, определенных в пунктах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5.1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-5.2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Регламента.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4.5. К участию в конкурсе в номинации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«Педагогический дебют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 не допускаются претенденты, не прошедшие предварительный отбор.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4.6. Кандидат, допущенный к участию в конкурсе, становится участником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4.7. Список участников конкурса размещается оргкомитетом конкурса на сайте не позднее 3 рабочих дней до начала конкурса.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Перечень документов и материалов, 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предъявляемых претендентами для участия в конкурсе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.1. Для участия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в конкурсе претенденты на сайте департамента образования Администрации Тазовского района проходят электронную регистрацию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оформляют заявку. 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Заявка содержит: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Полное наименование образовательной организации (по Уставу)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Ф.И.О. (полностью)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Должность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стаж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Направляются документы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5.2.1.</w:t>
      </w:r>
      <w:r>
        <w:rPr>
          <w:rFonts w:ascii="Liberation Serif" w:hAnsi="Liberation Serif"/>
          <w:sz w:val="28"/>
          <w:szCs w:val="28"/>
        </w:rPr>
        <w:t xml:space="preserve"> ПРЕДСТАВЛЕНИЕ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5.2.2. ЗАЯВЛЕНИЕ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5.2.3. СОГЛАСИЕ кандидата на участие в конкурсе на обработку персональных данных в формате текстового документа (doc, docx);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5.2.4. ИНФОРМАЦИОННУЮ КАРТУ кандидата на участие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</w:t>
      </w:r>
      <w:r>
        <w:rPr>
          <w:rFonts w:ascii="Liberation Serif" w:hAnsi="Liberation Serif"/>
          <w:sz w:val="28"/>
          <w:szCs w:val="28"/>
        </w:rPr>
        <w:t xml:space="preserve"> Три фотографии с учетом следующих пожеланий: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портретное фото (вертикальное и горизонтальное) – студийное фото, предоставляется в формате *jpg, с разрешением 300 точек на дюйм, без уменьшения исходного размера на однотонном фоне;</w:t>
      </w:r>
      <w:r/>
    </w:p>
    <w:p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2 жанровых фото (вертикальное и горизонтальное), демонстрирующие профессиональную деятельность – в помещении или на улице.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5.4.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Материалы, представляемые в оргкомитет, не возвращаются.</w:t>
      </w:r>
      <w:r/>
    </w:p>
    <w:p>
      <w:pPr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/>
    </w:p>
    <w:p>
      <w:pPr>
        <w:numPr>
          <w:ilvl w:val="0"/>
          <w:numId w:val="32"/>
        </w:numPr>
        <w:ind w:firstLine="709"/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Конкурс в номинации «Педагогический дебют» состоит из 3 этапов и 6 конкурсных испытаний.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 Этапы и конкурсные испытания конкурса: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«Pitch-презентация»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«Моя педагогическая находка»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«Рабочий момент»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«Кейс-студия»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«4К современного мира»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«Уроки молодых»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Конкурсное испытание: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«Педагогический Stand Up»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1.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6.3.1. Конкурсное испытание «Pitch-презентация»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педагогического кредо и личностного потенциала участника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индивидуальное публичное выступление, демонстрация личного имиджа педагога (умение подчеркнуть свои достоинства) в самопрезентации, возможно использование подготовленных материалов (фото, видео).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2 минут.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6.3.2.Конкурсное испытание «Моя педагогическая находка»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презентация конкурсантом авторской находки из опыта педагогической работы.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выступление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конкурсанта,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демонстрирующее наиболее значимые в его деятельности методы и/или приемы обучения, воспитания и развития детей, способы и формы взаимодействия с родителями (законными представителями) и др.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Выступление конкурсанта может сопровождаться презентацией или видеофрагментами.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 и оценивается большим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7 минут, включая ответы на вопросы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6.3.3.Конкурсное испытание «Рабочий момент»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конкурсантом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воспитанников/обучающихся.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определяется расписанием и оценивается предметным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учебное занятие по предмету в цифровой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бразовательной среде - номинация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«Молодые учителя».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40 минут, включая время самоанализа.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открытое занятие с участниками образовательных отношений (категория участников определяется конкурсантом) - номинация «Молодые педагоги-психологи, учителя-логопеды».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40 минут, включая время самоанализа - для всех категорий участников, кроме дошкольных групп; 20 минут, включая время самоанализа - для категории дошкольных групп.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педагогическое занятие в цифровой образовательной среде в дошкольной группе - номинация «Молодые воспитатели дошкольных образовательных организаций».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20 минут, включая время самоанализа.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досуговое мероприятие для детей (возраст и категория участников определяется конкурсантом) - номинация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педагоги-организаторы», «Молодой педагог дополнительного образования».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20 минут, включая время самоанализа.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семинар для педагогов-наставников в рамках проблемного поля «Молодой педагог в эпоху всеобщей цифровизации» - номинация «Молодые руководители образовательных организаций».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20 минут, включая время самоанализа.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6.4.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2. 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6.4.1.Конкурсное испытание «Кейс-студия»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конк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урсантами уровня сформированности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психолого-педагогических компетенций при проведении анализа предложенной педа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гогической ситуации и нахождение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оптимального решения.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конкурсанты должны выстроить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собственное обоснованное решение кейсовой задачи.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Задание индивидуальное, выполняется совместно с наставником и оценивается предметным жюри группы.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6.4.2. Конкурсное испытание «4К современного мира»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испытания 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демонстрация профессиональных компетенций по реализации учебной и воспитательной деятельности в образовательном процессе, нацелена на командную деятельность конкурсантов.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импровизационный конкурс в форме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организационно-деятельностной игры - конкурсанты знаком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ятся с заданием, содержание которого становится известно перед началом конкурсного испытания, конструируют групповой продукт - проект дорожной карты «Три первых шага» по решению педагогической проблемы, затем представляют и защищают свой проект перед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Задание выполняется в группах по 3-4 человека, которые определяются жеребьевкой, совместно с наставниками и оценивается большим жюри. Всем участникам одной группы выставляются одинаковые баллы.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40 минут, включая 30 минут - время на работу команды (представление и защита результатов командной работы - до 10 минут).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6.5.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ab/>
        <w:t xml:space="preserve">Этап 3. «Уроки молодых»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Конкурсное испытание «Педагогический Stand Up»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финального этапа -демонстрация педагогически целесообразного юмора, с использованием речевых жанров комического, в частности, таких как, юмористический рассказ, шутка, комический афоризм, исторический анекдот, предста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вление своего мнения на тему педагогики под названием «#ЯиНАСТАВНИК». Нестандартная и лёгкая подача содержания ФГОС и трендов современного образования, взаимодействие с детьми, родителями, педагогами, наставником, становление молодого педагога в профессии.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Выступление конкурсанта даст возможность оценить как профессиональные компетенции, так и личностные качества.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конкурсант в формате домашнего задания представляет на импровизированной сцене в виде монолога шутку- квинтэссенцию.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3 минут.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порядок работы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В своей работе жюри руководствуется Положением и настоящим Регламентом.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Каждый член жюри получает отдельный протокол оценивания на каждое конкурсное испытание, заполняет его по итогам испытания вр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учную, подписывается и сдаёт в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 конкурса сразу после проведения конкурсного испытания.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Член жюри может, но не обязан комментировать выступление участников конкурса.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7.4.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без письменного согласования с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7.5. Критерии оценивания в баллах: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отсутствует указанное качество;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незначительно;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достаточно хорошо;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в полной мере.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7.6. Критерии оценивания конкурсного испытания «Pitch-презентация»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1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9"/>
        <w:gridCol w:w="3144"/>
        <w:gridCol w:w="1276"/>
      </w:tblGrid>
      <w:tr>
        <w:trPr>
          <w:trHeight w:val="5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en-US"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педагогического кредо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5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Лаконично описывает основные идеи своей педагогической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Презентует личный имидж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Подчеркивает свои достоинства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Представляет эффектный </w:t>
            </w:r>
            <w:r>
              <w:rPr>
                <w:rFonts w:ascii="Liberation Serif" w:hAnsi="Liberation Serif"/>
                <w:color w:val="000000"/>
                <w:lang w:val="en-US" w:bidi="en-US" w:eastAsia="en-US"/>
              </w:rPr>
              <w:t xml:space="preserve">Pitch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4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</w:tbl>
    <w:p>
      <w:pPr>
        <w:contextualSpacing/>
        <w:widowControl w:val="off"/>
        <w:rPr>
          <w:rFonts w:ascii="Liberation Serif" w:hAnsi="Liberation Serif" w:cs="Liberation Serif" w:eastAsia="Liberation Serif"/>
          <w:bCs/>
          <w:i/>
          <w:iCs/>
          <w:sz w:val="28"/>
          <w:szCs w:val="28"/>
          <w:highlight w:val="white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7.7. 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«Моя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п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едагогическая находка»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2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>
        <w:trPr>
          <w:trHeight w:val="3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Баллы</w:t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аргументированность авторских идей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12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numPr>
          <w:ilvl w:val="1"/>
          <w:numId w:val="33"/>
        </w:numPr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«Рабочий момент»</w:t>
      </w:r>
      <w:r/>
    </w:p>
    <w:p>
      <w:pPr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7.8.1.Учебное занятие по предмету в цифровой образовательной среде – в номинации «Молодые учителя»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3</w:t>
      </w:r>
      <w:r/>
    </w:p>
    <w:tbl>
      <w:tblPr>
        <w:tblW w:w="9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7496"/>
        <w:gridCol w:w="1255"/>
      </w:tblGrid>
      <w:tr>
        <w:trPr>
          <w:jc w:val="center"/>
          <w:trHeight w:val="3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Баллы</w:t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фундаментальность знания предмета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методическую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уровень использования цифровых технологий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личностные качества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глубину и точность анализа учебного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9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21 балл)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highlight w:val="white"/>
          <w:lang w:bidi="ru-RU"/>
        </w:rPr>
      </w:r>
      <w:r/>
    </w:p>
    <w:p>
      <w:pPr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7.8.2. Открытое занятие с участниками образовательных отношений (категория участников определяется конкурсантом) - номинация «Молодые педагоги-психологи, учителя-логопеды»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ab/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ab/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4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7442"/>
        <w:gridCol w:w="1276"/>
      </w:tblGrid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i/>
                <w:iCs/>
                <w:highlight w:val="white"/>
                <w:lang w:bidi="ru-RU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bCs/>
                <w:i/>
                <w:iCs/>
                <w:highlight w:val="white"/>
                <w:lang w:bidi="ru-RU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Баллы</w:t>
            </w:r>
            <w:r/>
          </w:p>
        </w:tc>
      </w:tr>
      <w:tr>
        <w:trPr>
          <w:jc w:val="center"/>
          <w:trHeight w:val="46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глубину раскрытия темы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45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оригинальность методических приемов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61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умение организова ть использование участниками занятия разных типов и видов источников знаний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5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42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умение организовать взаимодействие участников между собой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56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Демонстрирует умение создавать и поддерживать высокий уровень мотивации и высокую интенсивность деятельности участников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jc w:val="center"/>
          <w:trHeight w:val="55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center"/>
            <w:textDirection w:val="lrTb"/>
            <w:noWrap w:val="false"/>
          </w:tcPr>
          <w:p>
            <w:pPr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Показывает глубину и точность анализа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jc w:val="center"/>
          <w:trHeight w:val="43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42" w:type="dxa"/>
            <w:vAlign w:val="bottom"/>
            <w:textDirection w:val="lrTb"/>
            <w:noWrap w:val="false"/>
          </w:tcPr>
          <w:p>
            <w:pPr>
              <w:spacing w:line="298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jc w:val="center"/>
          <w:trHeight w:val="41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42" w:type="dxa"/>
            <w:textDirection w:val="lrTb"/>
            <w:noWrap w:val="false"/>
          </w:tcPr>
          <w:p>
            <w:pPr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 xml:space="preserve">ИТОГО (</w:t>
            </w:r>
            <w:r>
              <w:rPr>
                <w:rFonts w:ascii="Liberation Serif" w:hAnsi="Liberation Serif"/>
                <w:lang w:val="en-US" w:bidi="ru-RU"/>
              </w:rPr>
              <w:t xml:space="preserve">m</w:t>
            </w:r>
            <w:r>
              <w:rPr>
                <w:rFonts w:ascii="Liberation Serif" w:hAnsi="Liberation Serif"/>
                <w:lang w:bidi="ru-RU"/>
              </w:rPr>
              <w:t xml:space="preserve">ах. 21 балл)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highlight w:val="white"/>
          <w:lang w:bidi="ru-RU"/>
        </w:rPr>
      </w:r>
      <w:r/>
    </w:p>
    <w:p>
      <w:pPr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7.8.3. Педагогическое занятие в цифровой образовательной среде в дошкольной группе - номинация «Молодые воспитатели дошкольных образовательных организаций»</w:t>
      </w:r>
      <w:r/>
    </w:p>
    <w:p>
      <w:pPr>
        <w:ind w:left="7080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         Таблица №5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7392"/>
        <w:gridCol w:w="1276"/>
      </w:tblGrid>
      <w:tr>
        <w:trPr>
          <w:jc w:val="center"/>
          <w:trHeight w:val="4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i/>
                <w:iCs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lang w:bidi="ru-RU"/>
              </w:rPr>
              <w:t xml:space="preserve">Баллы</w:t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методическую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умение организовать использование участниками занятия разных типов и видов источников знаний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Показывает уровень использования цифровых технологий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психолого-педагогическая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оригинальность методических приемов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Показывает глубину и точность анализа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48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39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ИТОГО (</w:t>
            </w:r>
            <w:r>
              <w:rPr>
                <w:rFonts w:ascii="Liberation Serif" w:hAnsi="Liberation Serif" w:cs="Liberation Serif" w:eastAsia="Liberation Serif"/>
                <w:lang w:val="en-US" w:bidi="ru-RU"/>
              </w:rPr>
              <w:t xml:space="preserve">m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ах. 21 балл)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</w:r>
      <w:r/>
    </w:p>
    <w:p>
      <w:pPr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7.8.4. Досуговое мероприятие для детей (возраст и категория участников</w:t>
      </w:r>
      <w:r/>
    </w:p>
    <w:p>
      <w:pPr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определяется конкурсантом) - номинация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«Молодые педагоги-организаторы», «Молодые педагоги дополнительного образования»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№6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7331"/>
        <w:gridCol w:w="1353"/>
      </w:tblGrid>
      <w:tr>
        <w:trPr>
          <w:jc w:val="center"/>
          <w:trHeight w:val="29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i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i/>
                <w:iCs/>
                <w:lang w:bidi="en-US"/>
              </w:rPr>
              <w:t xml:space="preserve">№п/п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i/>
                <w:iCs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лы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Показывает глубину раскрытия темы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оригинальность методических приемов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психолого-педагогическую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умение организовать взаимодействие участников мероприятия между собой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8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Демонстрирует умение создавать и поддерживать высокий уровень мотивации и высокую интенсивность деятельности участников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3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Показывает глубину и точность анализа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59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>
          <w:jc w:val="center"/>
          <w:trHeight w:val="37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331" w:type="dxa"/>
            <w:vAlign w:val="bottom"/>
            <w:textDirection w:val="lrTb"/>
            <w:noWrap w:val="false"/>
          </w:tcPr>
          <w:p>
            <w:pPr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ИТОГО </w:t>
            </w:r>
            <w:r>
              <w:rPr>
                <w:rFonts w:ascii="Liberation Serif" w:hAnsi="Liberation Serif"/>
                <w:sz w:val="21"/>
                <w:szCs w:val="21"/>
                <w:lang w:val="en-US" w:bidi="en-US" w:eastAsia="en-US"/>
              </w:rPr>
              <w:t xml:space="preserve">(max. </w:t>
            </w:r>
            <w:r>
              <w:rPr>
                <w:rFonts w:ascii="Liberation Serif" w:hAnsi="Liberation Serif"/>
                <w:sz w:val="21"/>
                <w:szCs w:val="21"/>
              </w:rPr>
              <w:t xml:space="preserve">21 балл)</w:t>
            </w:r>
            <w:r/>
          </w:p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lang w:bidi="ru-RU"/>
        </w:rPr>
      </w:r>
      <w:r/>
    </w:p>
    <w:p>
      <w:pPr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7.8.5. Семинар для педагогов-наставников в рамках проблемного поля «Молодой педагог в эпоху всеобщей цифровизации» - номинация «Молодые руководители образовательных организаций»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color w:val="FF0000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№7</w:t>
      </w:r>
      <w:r/>
    </w:p>
    <w:tbl>
      <w:tblPr>
        <w:tblW w:w="0" w:type="auto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71"/>
        <w:gridCol w:w="1421"/>
      </w:tblGrid>
      <w:tr>
        <w:trPr/>
        <w:tc>
          <w:tcPr>
            <w:shd w:val="clear" w:color="auto" w:fill="auto"/>
            <w:tcW w:w="572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lang w:bidi="ru-RU" w:eastAsia="zh-CN"/>
              </w:rPr>
              <w:t xml:space="preserve">№п/п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 w:eastAsia="zh-CN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421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 w:eastAsia="zh-CN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572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1.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Показывает глубину раскрытия темы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2.</w:t>
            </w:r>
            <w:r/>
          </w:p>
        </w:tc>
        <w:tc>
          <w:tcPr>
            <w:shd w:val="clear" w:color="auto" w:fill="auto"/>
            <w:tcW w:w="7371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Демонстрирует оригинальность методических приемов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3.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Демонстрирует личностные качества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4.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293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Демонстрирует умение организовать взаимодействие участников семинара между собой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5.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283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Демонстрирует умение создавать и поддерживать высокий уровень мотивации и высокую интенсивность деятельности участников семинара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6.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Показывает глубину и точность анализа семинара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7.</w:t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302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572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</w:r>
            <w:r/>
          </w:p>
        </w:tc>
        <w:tc>
          <w:tcPr>
            <w:shd w:val="clear" w:color="auto" w:fill="auto"/>
            <w:tcW w:w="7371" w:type="dxa"/>
            <w:vAlign w:val="bottom"/>
            <w:textDirection w:val="lrTb"/>
            <w:noWrap w:val="false"/>
          </w:tcPr>
          <w:p>
            <w:pPr>
              <w:jc w:val="both"/>
              <w:spacing w:line="302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lang w:val="en-US" w:bidi="en-US" w:eastAsia="en-US"/>
              </w:rPr>
              <w:t xml:space="preserve">(max. </w:t>
            </w:r>
            <w:r>
              <w:rPr>
                <w:rFonts w:ascii="Liberation Serif" w:hAnsi="Liberation Serif"/>
                <w:color w:val="000000"/>
                <w:lang w:bidi="ru-RU" w:eastAsia="zh-CN"/>
              </w:rPr>
              <w:t xml:space="preserve">21 балл)</w:t>
            </w:r>
            <w:r/>
          </w:p>
          <w:p>
            <w:pPr>
              <w:jc w:val="both"/>
              <w:spacing w:line="302" w:lineRule="exact"/>
              <w:widowControl w:val="off"/>
              <w:rPr>
                <w:rFonts w:ascii="Liberation Serif" w:hAnsi="Liberation Serif"/>
                <w:color w:val="000000"/>
                <w:lang w:bidi="ru-RU" w:eastAsia="zh-CN"/>
              </w:rPr>
            </w:pPr>
            <w:r>
              <w:rPr>
                <w:rFonts w:ascii="Liberation Serif" w:hAnsi="Liberation Serif"/>
                <w:color w:val="000000"/>
                <w:lang w:bidi="ru-RU" w:eastAsia="zh-CN"/>
              </w:rPr>
            </w:r>
            <w:r/>
          </w:p>
        </w:tc>
        <w:tc>
          <w:tcPr>
            <w:shd w:val="clear" w:color="auto" w:fill="auto"/>
            <w:tcW w:w="1421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 w:eastAsia="zh-CN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</w:r>
      <w:r/>
    </w:p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7.8.6. Критерии оценивания конкурсного испытания </w:t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bidi="ru-RU"/>
        </w:rPr>
        <w:t xml:space="preserve">«Кейс-студия»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№8</w:t>
      </w:r>
      <w:r/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9"/>
        <w:gridCol w:w="7297"/>
        <w:gridCol w:w="1524"/>
      </w:tblGrid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lang w:bidi="ru-RU"/>
              </w:rPr>
              <w:t xml:space="preserve">№п/п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52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Предлагает оптимальное решение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Выражает собственное отношение к проблеме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lang w:val="en-US" w:bidi="en-US" w:eastAsia="en-US"/>
              </w:rPr>
              <w:t xml:space="preserve">(max. 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</w:tbl>
    <w:p>
      <w:pPr>
        <w:jc w:val="right"/>
        <w:widowControl w:val="off"/>
        <w:rPr>
          <w:rFonts w:ascii="Liberation Serif" w:hAnsi="Liberation Serif" w:cs="Liberation Serif" w:eastAsia="Liberation Serif"/>
          <w:color w:val="FF0000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lang w:bidi="ru-RU"/>
        </w:rPr>
      </w:r>
      <w:r/>
    </w:p>
    <w:p>
      <w:pPr>
        <w:jc w:val="both"/>
        <w:spacing w:line="210" w:lineRule="exact"/>
        <w:widowControl w:val="off"/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7.8.7.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Критерии оценивания конкурсного испытания </w:t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bidi="ru-RU"/>
        </w:rPr>
        <w:t xml:space="preserve">«4К современного мира»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color w:val="FF0000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№9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7512"/>
        <w:gridCol w:w="1524"/>
      </w:tblGrid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lang w:bidi="en-US"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2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2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lang w:bidi="ru-RU"/>
              </w:rPr>
              <w:t xml:space="preserve">1</w:t>
            </w:r>
            <w:r>
              <w:rPr>
                <w:rFonts w:ascii="Liberation Serif" w:hAnsi="Liberation Serif" w:cs="Verdana" w:eastAsia="Verdana"/>
                <w:color w:val="000000"/>
                <w:lang w:bidi="ru-RU"/>
              </w:rPr>
              <w:t xml:space="preserve">.</w:t>
            </w:r>
            <w:r/>
          </w:p>
        </w:tc>
        <w:tc>
          <w:tcPr>
            <w:shd w:val="clear" w:color="auto" w:fill="auto"/>
            <w:tcW w:w="7512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адекватное понимание сути проблемы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jc w:val="both"/>
              <w:spacing w:line="288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Способствует командному взаимодействию, высокому уровню коллегиальности принятия решения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jc w:val="both"/>
              <w:spacing w:line="283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Показывает комплексное, разностороннее понимание кейса (педагогический или воспитательной задачи) с 'гачек зрения педагога, ребенка и родителя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Прогнозирует образовательный эффект и доказывает</w:t>
            </w: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 образовательную значимость предлагаемого решения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Доказывает реализуемость и практическую целесообразность дорожной карты «Три первых шага»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6.</w:t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Ориентируется на развитие 4К (критического мышления, креативного мышления, коммуникации, коллаборации)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r>
            <w:r/>
          </w:p>
        </w:tc>
        <w:tc>
          <w:tcPr>
            <w:shd w:val="clear" w:color="auto" w:fill="auto"/>
            <w:tcW w:w="7512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  <w:lang w:bidi="ru-RU"/>
              </w:rPr>
              <w:t xml:space="preserve">ИТОГО (шах. 18 баллов)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2"/>
                <w:lang w:bidi="ru-RU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</w:r>
      <w:r/>
    </w:p>
    <w:p>
      <w:pPr>
        <w:jc w:val="both"/>
        <w:spacing w:line="210" w:lineRule="exact"/>
        <w:widowControl w:val="off"/>
        <w:rPr>
          <w:rFonts w:ascii="Liberation Serif" w:hAnsi="Liberation Serif"/>
          <w:b/>
          <w:bCs/>
          <w:i/>
          <w:iCs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7.8.8. Критерии оценивания конкурсного испытания </w:t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«Педагогический</w:t>
      </w:r>
      <w:r>
        <w:rPr>
          <w:rFonts w:ascii="Liberation Serif" w:hAnsi="Liberation Serif"/>
          <w:b/>
          <w:bCs/>
          <w:i/>
          <w:iCs/>
          <w:sz w:val="28"/>
          <w:szCs w:val="28"/>
          <w:lang w:bidi="en-US" w:eastAsia="en-US"/>
        </w:rPr>
        <w:t xml:space="preserve"> Stand Up</w:t>
      </w:r>
      <w:r>
        <w:rPr>
          <w:rFonts w:ascii="Liberation Serif" w:hAnsi="Liberation Serif"/>
          <w:b/>
          <w:bCs/>
          <w:i/>
          <w:iCs/>
          <w:sz w:val="28"/>
          <w:szCs w:val="28"/>
          <w:lang w:bidi="ru-RU"/>
        </w:rPr>
        <w:t xml:space="preserve">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color w:val="FF0000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10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0"/>
        <w:gridCol w:w="7486"/>
        <w:gridCol w:w="1524"/>
      </w:tblGrid>
      <w:tr>
        <w:trPr>
          <w:trHeight w:val="366"/>
        </w:trPr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b/>
                <w:bCs/>
                <w:i/>
                <w:iCs/>
                <w:color w:val="000000"/>
                <w:lang w:bidi="ru-RU"/>
              </w:rPr>
              <w:t xml:space="preserve">Критерии оценивании</w:t>
            </w:r>
            <w:r/>
          </w:p>
        </w:tc>
        <w:tc>
          <w:tcPr>
            <w:shd w:val="clear" w:color="auto" w:fill="auto"/>
            <w:tcW w:w="152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b/>
                <w:bCs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spacing w:line="283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Лаконично описывает основные идеи своей педагогической деятельности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spacing w:line="293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Аргументирует важность поднимаемых педагогических проблем для современного молодого педагога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spacing w:line="288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Опирается на собственный педагогический опыт (включая взаимоотношения с участниками образовательного процесса: дети, родители, педагоги, наставник)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spacing w:line="278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Использует юмор (сатиру, самоиронию, иронию, парадокс, пародию, аллюзии и др.) в подаче материала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486" w:type="dxa"/>
            <w:vAlign w:val="bottom"/>
            <w:textDirection w:val="lrTb"/>
            <w:noWrap w:val="false"/>
          </w:tcPr>
          <w:p>
            <w:pPr>
              <w:spacing w:line="283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Демонстрирует исполнительское мастерство, использует сценический образ и невербальные средства коммуникации (мимика, жесты, позы и др.)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Cs/>
                <w:lang w:bidi="ru-RU"/>
              </w:rPr>
              <w:t xml:space="preserve">6.</w:t>
            </w:r>
            <w:r/>
          </w:p>
        </w:tc>
        <w:tc>
          <w:tcPr>
            <w:shd w:val="clear" w:color="auto" w:fill="auto"/>
            <w:tcW w:w="7486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Вызывает живой отклик и неравнодушие аудитории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bidi="ru-RU"/>
              </w:rPr>
            </w:r>
            <w:r/>
          </w:p>
        </w:tc>
        <w:tc>
          <w:tcPr>
            <w:shd w:val="clear" w:color="auto" w:fill="auto"/>
            <w:tcW w:w="7486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eastAsia="Courier New"/>
                <w:color w:val="000000"/>
                <w:lang w:bidi="ru-RU"/>
              </w:rPr>
              <w:t xml:space="preserve">ИТОГО (шах. 18 баллов)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b/>
                <w:bCs/>
                <w:lang w:val="en-US" w:bidi="ru-RU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lang w:val="en-US" w:bidi="ru-RU"/>
              </w:rPr>
            </w:r>
            <w:r/>
          </w:p>
        </w:tc>
      </w:tr>
    </w:tbl>
    <w:p>
      <w:pPr>
        <w:jc w:val="center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Алгоритм подсчета результатов и определения победителей и призеров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8.1. Общий подс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чет результатов осуществляется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 без участия членов жюри.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8.2. Обсуждение и утверждение итоговых результатов членами жюри не проводится.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 В номинации «Педагогический дебют -2023» используется следующий алгоритм подсчета результатов: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8.3.1. каждому участнику по каждому конкурсному испытанию выставляются баллы членами жюри. При оценивании работы в парах и группах каждый участник пары и группы получает одинаковые (групповые)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баллы;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8.3.3. общий подсчет баллов осуществляется путем определения суммы средних баллов по каждому конкурсному испытанию каждого участника;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8.3.4. все участники выстраиваются в общий рейтинг по рассчитанным итоговым результатам;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8.4. победителем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дебют 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становится участник, занявший в общем рейтинге 1 место по итогам всех конкурсных испытаний;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8.5. призерами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дебют 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становятся участники, занявшие в общем рейтинге 2,3 место по итогам всех конкурсных испытаний.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Награждение победителей и призеров конкурса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9.1. Награждение победителя и призеров конкурса осуществляется в соответствии с Положением, утвержденным настоящим приказом.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 Контроль исполнения регламента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Контроль исполнения настоящего Регламента осуществляет Оргкомитет конкурса.</w:t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№7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ПРЕДСТАВЛЕНИЯ</w:t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 педагогического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мастерства 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</w:t>
      </w:r>
      <w:r>
        <w:rPr>
          <w:rFonts w:ascii="Liberation Serif" w:hAnsi="Liberation Serif"/>
        </w:rPr>
        <w:t xml:space="preserve">муниципальная образовательная организация</w:t>
      </w:r>
      <w:r>
        <w:rPr>
          <w:rFonts w:ascii="Liberation Serif" w:hAnsi="Liberation Serif"/>
        </w:rPr>
        <w:t xml:space="preserve">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выдвигает на участие в муниципальном конкурсе педагогического мастерства в_________ году 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родительном падеже: фамилия, имя, отчество кандидата на участие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конкурсе</w:t>
      </w:r>
      <w:r>
        <w:rPr>
          <w:rFonts w:ascii="Liberation Serif" w:hAnsi="Liberation Serif"/>
        </w:rPr>
        <w:t xml:space="preserve"> занимаемая им должность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Электронная регистрация на официальном сайте конкурса пройдена.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Личный интернет-ресурс кандидата на участие в муниципальном этапе конкурса: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(адрес интернет-ресурса)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руководителя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(фамилия, имя, отчество)                                 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(подпись)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МП»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/>
      <w:bookmarkStart w:id="9" w:name="P3649"/>
      <w:r/>
      <w:bookmarkEnd w:id="9"/>
      <w:r/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0" w:name="P3667"/>
      <w:r/>
      <w:bookmarkEnd w:id="10"/>
      <w:r>
        <w:rPr>
          <w:rFonts w:ascii="Liberation Serif" w:hAnsi="Liberation Serif"/>
          <w:b/>
        </w:rPr>
        <w:t xml:space="preserve">ФОРМА ЗАЯВЛЕНИЯ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в родительном падеже)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center"/>
        <w:tabs>
          <w:tab w:val="left" w:pos="1418" w:leader="none"/>
          <w:tab w:val="left" w:pos="1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(полное наименование образовательной организации согласно ее уставу)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муниципального образования в Ямало-Ненецком автономном округе)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__________________________________________________________________,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согласие на участие в муниципальном конкурсе педагогического мастерства в  _____ году, внесение сведений о</w:t>
      </w:r>
      <w:r>
        <w:rPr>
          <w:rFonts w:ascii="Liberation Serif" w:hAnsi="Liberation Serif"/>
          <w:sz w:val="28"/>
          <w:szCs w:val="28"/>
        </w:rPr>
        <w:t xml:space="preserve"> кандидате на участие в муниципальном</w:t>
      </w:r>
      <w:r>
        <w:rPr>
          <w:rFonts w:ascii="Liberation Serif" w:hAnsi="Liberation Serif"/>
          <w:sz w:val="28"/>
          <w:szCs w:val="28"/>
        </w:rPr>
        <w:t xml:space="preserve"> этапе конкурса, указанных в информационной карте, представленной_______________________________________________________________________________________________________________________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МОО)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базу данных об участниках муниципального этапа конкурса и использование, за  исключением </w:t>
      </w:r>
      <w:hyperlink r:id="rId9" w:tooltip="file:///C:\Users\l.svechnikova\Desktop\КОНКУРС%20педмастерства%202022\Постановление%20КОНКУРС%20педмастерства.docx#P3803" w:anchor="P3803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разделов 7</w:t>
        </w:r>
      </w:hyperlink>
      <w:r>
        <w:rPr>
          <w:rFonts w:ascii="Liberation Serif" w:hAnsi="Liberation Serif"/>
          <w:sz w:val="28"/>
          <w:szCs w:val="28"/>
        </w:rPr>
        <w:t xml:space="preserve">–8 («Контакты», «Документы»),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 г.          </w:t>
      </w:r>
      <w:r>
        <w:rPr>
          <w:rFonts w:ascii="Liberation Serif" w:hAnsi="Liberation Serif"/>
          <w:sz w:val="28"/>
          <w:szCs w:val="28"/>
        </w:rPr>
        <w:t xml:space="preserve">           ________________   </w:t>
      </w:r>
      <w:r/>
    </w:p>
    <w:p>
      <w:pPr>
        <w:pStyle w:val="1029"/>
        <w:ind w:left="4111" w:right="325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(подпись)</w:t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СОГЛАСИЯ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обработку персональных данных кандидата на участие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конкурсе 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"___" _________ 20___ г.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Я,________________________________________________________________,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(фамилия, имя, отчество полностью)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_______________серия ____ №_______________________________________ 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(вид документа, удостоверяющего личность)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__________, 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(кем и когда)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проживающий(ая) по адресу </w:t>
      </w:r>
      <w:r>
        <w:rPr>
          <w:rFonts w:ascii="Liberation Serif" w:hAnsi="Liberation Serif"/>
        </w:rPr>
        <w:t xml:space="preserve">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настоящим даю свое согласие</w:t>
      </w:r>
      <w:r>
        <w:rPr>
          <w:rFonts w:ascii="Liberation Serif" w:hAnsi="Liberation Serif"/>
        </w:rPr>
        <w:t xml:space="preserve"> 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(наименование оргкомитета конкурса в дательном падеже)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10" w:tooltip="consultantplus://offline/ref=2E1882AEF6B246E32922B1124904F6EB2A46FA3DC3F55CBC2C90B876B809D7E89F5CCF043F2A7121357D5D5E049D40C3D32F4BB6BF194F5Cl0V2J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пунктом 3 статьи 3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№  152-ФЗ  "О  персональных  данных",  указанных в документах, для проверки достоверности представленной мной информации.</w:t>
      </w:r>
      <w:r/>
    </w:p>
    <w:p>
      <w:pPr>
        <w:pStyle w:val="1029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свое  согласие  на  размещение  моей  фотографии, фамилии, имени и отчества   (при   его   наличии)   и   информации   о  должности  на  сайте </w:t>
      </w:r>
      <w:hyperlink r:id="rId11" w:tooltip="http://taz-edu.ru/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http://taz-edu.ru/</w:t>
        </w:r>
      </w:hyperlink>
      <w:r>
        <w:rPr>
          <w:rFonts w:ascii="Liberation Serif" w:hAnsi="Liberation Serif"/>
          <w:sz w:val="28"/>
          <w:szCs w:val="28"/>
        </w:rPr>
        <w:t xml:space="preserve">  (в  случае,  если  стану  победителем, призером, или участником данного конкурса).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Настоящее согласие дано сроком на один год.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Отзыв  согласия  может  быть произведен в письменной форме, но не ранее завершения конкурса.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Подпись: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полностью, подпись)</w:t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1" w:name="P3716"/>
      <w:r/>
      <w:bookmarkEnd w:id="11"/>
      <w:r>
        <w:rPr>
          <w:rFonts w:ascii="Liberation Serif" w:hAnsi="Liberation Serif"/>
          <w:b/>
        </w:rPr>
        <w:t xml:space="preserve">ФОРМА ИНФОРМАЦИОННОЙ КАРТЫ </w:t>
      </w:r>
      <w:r>
        <w:rPr>
          <w:rStyle w:val="964"/>
          <w:rFonts w:ascii="Liberation Serif" w:hAnsi="Liberation Serif" w:eastAsia="Arial"/>
        </w:rPr>
        <w:footnoteReference w:id="2"/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Borders>
          <w:left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Фото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x 6 см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КАРТА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кандидата на участие в муниципальном конкурсе педагогического мастерства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отчество)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(муниципальная образовательная организация)</w:t>
            </w:r>
            <w:r/>
          </w:p>
        </w:tc>
      </w:tr>
    </w:tbl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06"/>
        <w:gridCol w:w="367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Общие сведения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рождения (день, месяц, год)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школьного сайта в Интернете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Работа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работы (полное наименование образовательной организации в соответствии с ее уставом)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Занимаемая должность (наименование 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Преподаваемые предметы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Классное руководство в настоящее время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(в каком классе)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трудовой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педагогический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установления высшей квалификационной категории (в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Почетные звания и награды (наименования и даты получения в соответствии с записями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Послужной список (места и сроки работы за последние 10 лет)</w:t>
            </w:r>
            <w:r>
              <w:rPr>
                <w:rStyle w:val="964"/>
                <w:rFonts w:ascii="Liberation Serif" w:hAnsi="Liberation Serif" w:eastAsia="Arial"/>
              </w:rPr>
              <w:footnoteReference w:id="3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Преподавательская деятельность по совместительству (место работы и занимаемая должность)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Образование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Название и год окончания организации профессионального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Знание иностранных языков (укажите уровень владения)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Ученая степень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Название диссертационной работы (работ)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Основные публикации (в т.ч. книги)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Общественная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деятельности управляющего совета образовательной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(с указанием статуса участия)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Семья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Семейное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Досуг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Хобби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Спортивные увлечения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Сценические таланты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/>
            <w:bookmarkStart w:id="13" w:name="P3803"/>
            <w:r/>
            <w:bookmarkEnd w:id="13"/>
            <w:r>
              <w:rPr>
                <w:rFonts w:ascii="Liberation Serif" w:hAnsi="Liberation Serif"/>
              </w:rPr>
              <w:t xml:space="preserve">7. Контакты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Мобильный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Факс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Паспорт (серия, номер,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Страховой номер индивидуального лицевого счета в системе индивидуального (персонифицированного) учета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/>
      <w:bookmarkStart w:id="14" w:name="P3827"/>
      <w:r/>
      <w:bookmarkEnd w:id="14"/>
      <w:r/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304020202020204"/>
  </w:font>
  <w:font w:name="FrankRuehl">
    <w:panose1 w:val="020E0503060101010101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</w:t>
      </w:r>
      <w:r>
        <w:rPr>
          <w:rFonts w:ascii="PT Astra Serif" w:hAnsi="PT Astra Serif"/>
          <w:sz w:val="20"/>
          <w:szCs w:val="20"/>
        </w:rPr>
        <w:t xml:space="preserve">трудовой книжки</w:t>
      </w:r>
      <w:r>
        <w:rPr>
          <w:rFonts w:ascii="PT Astra Serif" w:hAnsi="PT Astra Serif"/>
          <w:sz w:val="20"/>
          <w:szCs w:val="20"/>
        </w:rPr>
        <w:t xml:space="preserve"> и/или сведений о трудовой деятельности в соответствии с Трудовым кодексом Российской Федерации и </w:t>
      </w:r>
      <w:hyperlink r:id="rId1" w:tooltip="file:///C:\Users\l.svechnikova\Desktop\КОНКУРС%20педмастерства%202022\Постановление%20КОНКУРС%20педмастерства.docx#P3853" w:anchor="P385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приложений №№ 5</w:t>
        </w:r>
      </w:hyperlink>
      <w:r>
        <w:rPr>
          <w:rFonts w:ascii="PT Astra Serif" w:hAnsi="PT Astra Serif"/>
          <w:sz w:val="20"/>
          <w:szCs w:val="20"/>
        </w:rPr>
        <w:t xml:space="preserve"> и </w:t>
      </w:r>
      <w:hyperlink r:id="rId2" w:tooltip="file:///C:\Users\l.svechnikova\Desktop\КОНКУРС%20педмастерства%202022\Постановление%20КОНКУРС%20педмастерства.docx#P3893" w:anchor="P389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6</w:t>
        </w:r>
      </w:hyperlink>
      <w:r>
        <w:rPr>
          <w:rFonts w:ascii="PT Astra Serif" w:hAnsi="PT Astra Serif"/>
          <w:sz w:val="20"/>
          <w:szCs w:val="20"/>
        </w:rPr>
        <w:t xml:space="preserve"> к Порядку проведения окружного конкурса педагогического мастерства, утвержденного постановлением Правительства Ямало-Ненецкого автономного округа.</w:t>
      </w:r>
      <w:bookmarkStart w:id="12" w:name="P3843"/>
      <w:r/>
      <w:bookmarkEnd w:id="12"/>
      <w:r/>
      <w:r/>
    </w:p>
    <w:p>
      <w:pPr>
        <w:pStyle w:val="962"/>
      </w:pPr>
      <w:r/>
      <w:r/>
    </w:p>
  </w:footnote>
  <w:footnote w:id="3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Поля информационной карты, выделенные курсивом, не обязательны для заполнения.».</w:t>
      </w:r>
      <w:r/>
    </w:p>
    <w:p>
      <w:pPr>
        <w:pStyle w:val="962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4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Quote Char"/>
    <w:link w:val="825"/>
    <w:uiPriority w:val="29"/>
    <w:rPr>
      <w:i/>
    </w:rPr>
  </w:style>
  <w:style w:type="character" w:styleId="793">
    <w:name w:val="Intense Quote Char"/>
    <w:link w:val="827"/>
    <w:uiPriority w:val="30"/>
    <w:rPr>
      <w:i/>
    </w:rPr>
  </w:style>
  <w:style w:type="character" w:styleId="794">
    <w:name w:val="Caption Char"/>
    <w:basedOn w:val="833"/>
    <w:link w:val="831"/>
    <w:uiPriority w:val="99"/>
  </w:style>
  <w:style w:type="character" w:styleId="795">
    <w:name w:val="Footnote Text Char"/>
    <w:link w:val="962"/>
    <w:uiPriority w:val="99"/>
    <w:rPr>
      <w:sz w:val="18"/>
    </w:rPr>
  </w:style>
  <w:style w:type="character" w:styleId="796">
    <w:name w:val="Endnote Text Char"/>
    <w:link w:val="965"/>
    <w:uiPriority w:val="99"/>
    <w:rPr>
      <w:sz w:val="20"/>
    </w:rPr>
  </w:style>
  <w:style w:type="paragraph" w:styleId="797" w:default="1">
    <w:name w:val="Normal"/>
    <w:rPr>
      <w:sz w:val="24"/>
      <w:szCs w:val="24"/>
    </w:rPr>
  </w:style>
  <w:style w:type="paragraph" w:styleId="798">
    <w:name w:val="Heading 1"/>
    <w:basedOn w:val="797"/>
    <w:next w:val="797"/>
    <w:link w:val="98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99">
    <w:name w:val="Heading 2"/>
    <w:basedOn w:val="797"/>
    <w:next w:val="797"/>
    <w:link w:val="811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00">
    <w:name w:val="Heading 3"/>
    <w:basedOn w:val="797"/>
    <w:next w:val="797"/>
    <w:link w:val="812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01">
    <w:name w:val="Heading 4"/>
    <w:basedOn w:val="797"/>
    <w:next w:val="797"/>
    <w:link w:val="8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02">
    <w:name w:val="Heading 5"/>
    <w:basedOn w:val="797"/>
    <w:next w:val="797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803">
    <w:name w:val="Heading 6"/>
    <w:basedOn w:val="797"/>
    <w:next w:val="797"/>
    <w:link w:val="8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797"/>
    <w:next w:val="797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5">
    <w:name w:val="Heading 8"/>
    <w:basedOn w:val="797"/>
    <w:next w:val="797"/>
    <w:link w:val="8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6">
    <w:name w:val="Heading 9"/>
    <w:basedOn w:val="797"/>
    <w:next w:val="797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79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800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79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0">
    <w:name w:val="No Spacing"/>
    <w:link w:val="1051"/>
    <w:uiPriority w:val="1"/>
    <w:qFormat/>
    <w:rPr>
      <w:lang w:eastAsia="zh-CN"/>
    </w:rPr>
  </w:style>
  <w:style w:type="paragraph" w:styleId="821">
    <w:name w:val="Title"/>
    <w:basedOn w:val="797"/>
    <w:next w:val="797"/>
    <w:link w:val="1010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822" w:customStyle="1">
    <w:name w:val="Title Char"/>
    <w:uiPriority w:val="10"/>
    <w:rPr>
      <w:sz w:val="48"/>
      <w:szCs w:val="48"/>
    </w:rPr>
  </w:style>
  <w:style w:type="paragraph" w:styleId="823">
    <w:name w:val="Subtitle"/>
    <w:basedOn w:val="797"/>
    <w:next w:val="797"/>
    <w:link w:val="1011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824" w:customStyle="1">
    <w:name w:val="Subtitle Char"/>
    <w:uiPriority w:val="11"/>
    <w:rPr>
      <w:sz w:val="24"/>
      <w:szCs w:val="24"/>
    </w:rPr>
  </w:style>
  <w:style w:type="paragraph" w:styleId="825">
    <w:name w:val="Quote"/>
    <w:basedOn w:val="797"/>
    <w:next w:val="797"/>
    <w:link w:val="826"/>
    <w:uiPriority w:val="29"/>
    <w:qFormat/>
    <w:pPr>
      <w:ind w:left="720" w:right="720"/>
    </w:pPr>
    <w:rPr>
      <w:i/>
    </w:r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basedOn w:val="797"/>
    <w:next w:val="797"/>
    <w:link w:val="8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basedOn w:val="797"/>
    <w:link w:val="992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830" w:customStyle="1">
    <w:name w:val="Header Char"/>
    <w:uiPriority w:val="99"/>
  </w:style>
  <w:style w:type="paragraph" w:styleId="831">
    <w:name w:val="Footer"/>
    <w:basedOn w:val="797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Footer Char"/>
    <w:uiPriority w:val="99"/>
  </w:style>
  <w:style w:type="paragraph" w:styleId="833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34" w:customStyle="1">
    <w:name w:val="Нижний колонтитул Знак"/>
    <w:link w:val="831"/>
    <w:uiPriority w:val="99"/>
  </w:style>
  <w:style w:type="table" w:styleId="835">
    <w:name w:val="Table Grid"/>
    <w:basedOn w:val="808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1">
    <w:name w:val="Hyperlink"/>
    <w:uiPriority w:val="99"/>
    <w:rPr>
      <w:color w:val="0000FF"/>
      <w:u w:val="single"/>
    </w:rPr>
  </w:style>
  <w:style w:type="paragraph" w:styleId="962">
    <w:name w:val="footnote text"/>
    <w:basedOn w:val="797"/>
    <w:link w:val="963"/>
    <w:uiPriority w:val="99"/>
    <w:semiHidden/>
    <w:unhideWhenUsed/>
    <w:pPr>
      <w:spacing w:after="40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797"/>
    <w:link w:val="966"/>
    <w:uiPriority w:val="99"/>
    <w:semiHidden/>
    <w:unhideWhenUsed/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797"/>
    <w:next w:val="797"/>
    <w:uiPriority w:val="39"/>
    <w:unhideWhenUsed/>
    <w:pPr>
      <w:spacing w:after="57"/>
    </w:pPr>
  </w:style>
  <w:style w:type="paragraph" w:styleId="969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70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71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72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73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74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75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76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  <w:rPr>
      <w:lang w:eastAsia="zh-CN"/>
    </w:rPr>
  </w:style>
  <w:style w:type="paragraph" w:styleId="978">
    <w:name w:val="table of figures"/>
    <w:basedOn w:val="797"/>
    <w:next w:val="797"/>
    <w:uiPriority w:val="99"/>
    <w:unhideWhenUsed/>
  </w:style>
  <w:style w:type="paragraph" w:styleId="979" w:customStyle="1">
    <w:name w:val="Содержимое таблицы"/>
    <w:basedOn w:val="797"/>
    <w:pPr>
      <w:widowControl w:val="off"/>
      <w:suppressLineNumbers/>
    </w:pPr>
    <w:rPr>
      <w:rFonts w:eastAsia="DejaVu Sans"/>
      <w:lang w:bidi="hi-IN" w:eastAsia="hi-IN"/>
    </w:rPr>
  </w:style>
  <w:style w:type="character" w:styleId="980" w:customStyle="1">
    <w:name w:val="Заголовок 1 Знак"/>
    <w:link w:val="798"/>
    <w:rPr>
      <w:b/>
      <w:spacing w:val="40"/>
      <w:sz w:val="28"/>
    </w:rPr>
  </w:style>
  <w:style w:type="paragraph" w:styleId="981" w:customStyle="1">
    <w:name w:val="Знак"/>
    <w:basedOn w:val="79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"/>
    <w:basedOn w:val="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3" w:customStyle="1">
    <w:name w:val="Заголовок №2_"/>
    <w:link w:val="984"/>
    <w:rPr>
      <w:b/>
      <w:bCs/>
      <w:sz w:val="28"/>
      <w:szCs w:val="28"/>
      <w:shd w:val="clear" w:color="auto" w:fill="ffffff"/>
    </w:rPr>
  </w:style>
  <w:style w:type="paragraph" w:styleId="984" w:customStyle="1">
    <w:name w:val="Заголовок №2"/>
    <w:basedOn w:val="797"/>
    <w:link w:val="983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85" w:customStyle="1">
    <w:name w:val="Без интервала1"/>
    <w:qFormat/>
    <w:rPr>
      <w:rFonts w:ascii="Calibri" w:hAnsi="Calibri"/>
      <w:sz w:val="22"/>
      <w:szCs w:val="22"/>
    </w:rPr>
  </w:style>
  <w:style w:type="character" w:styleId="986" w:customStyle="1">
    <w:name w:val="Заголовок №4 (2)_"/>
    <w:link w:val="987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87" w:customStyle="1">
    <w:name w:val="Заголовок №4 (2)"/>
    <w:basedOn w:val="797"/>
    <w:link w:val="986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88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89" w:customStyle="1">
    <w:name w:val="Без интервала;основа"/>
    <w:basedOn w:val="797"/>
    <w:link w:val="990"/>
    <w:rPr>
      <w:rFonts w:ascii="Calibri" w:hAnsi="Calibri"/>
      <w:i/>
      <w:iCs/>
      <w:sz w:val="20"/>
      <w:szCs w:val="20"/>
      <w:lang w:val="en-US" w:bidi="en-US" w:eastAsia="en-US"/>
    </w:rPr>
  </w:style>
  <w:style w:type="character" w:styleId="990" w:customStyle="1">
    <w:name w:val="Без интервала Знак;основа Знак;Без интервала1 Знак"/>
    <w:link w:val="989"/>
    <w:rPr>
      <w:rFonts w:ascii="Calibri" w:hAnsi="Calibri"/>
      <w:i/>
      <w:iCs/>
      <w:lang w:val="en-US" w:bidi="en-US" w:eastAsia="en-US"/>
    </w:rPr>
  </w:style>
  <w:style w:type="paragraph" w:styleId="991" w:customStyle="1">
    <w:name w:val="Default"/>
    <w:rPr>
      <w:color w:val="000000"/>
      <w:sz w:val="24"/>
      <w:szCs w:val="24"/>
    </w:rPr>
  </w:style>
  <w:style w:type="character" w:styleId="992" w:customStyle="1">
    <w:name w:val="Верхний колонтитул Знак"/>
    <w:link w:val="829"/>
    <w:uiPriority w:val="99"/>
    <w:rPr>
      <w:sz w:val="24"/>
    </w:rPr>
  </w:style>
  <w:style w:type="character" w:styleId="993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4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5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bidi="ru-RU" w:eastAsia="ru-RU"/>
    </w:rPr>
  </w:style>
  <w:style w:type="character" w:styleId="996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997" w:customStyle="1">
    <w:name w:val="Body text (2)_"/>
    <w:link w:val="998"/>
    <w:rPr>
      <w:sz w:val="28"/>
      <w:szCs w:val="28"/>
      <w:shd w:val="clear" w:color="auto" w:fill="ffffff"/>
    </w:rPr>
  </w:style>
  <w:style w:type="paragraph" w:styleId="998" w:customStyle="1">
    <w:name w:val="Body text (2)"/>
    <w:basedOn w:val="797"/>
    <w:link w:val="997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99" w:customStyle="1">
    <w:name w:val="extended-text__full"/>
    <w:basedOn w:val="807"/>
  </w:style>
  <w:style w:type="character" w:styleId="1000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1001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bidi="ru-RU" w:eastAsia="ru-RU"/>
    </w:rPr>
  </w:style>
  <w:style w:type="character" w:styleId="1002" w:customStyle="1">
    <w:name w:val="Body text (5)_"/>
    <w:link w:val="1004"/>
    <w:rPr>
      <w:b/>
      <w:bCs/>
      <w:sz w:val="28"/>
      <w:szCs w:val="28"/>
      <w:shd w:val="clear" w:color="auto" w:fill="ffffff"/>
    </w:rPr>
  </w:style>
  <w:style w:type="character" w:styleId="1003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paragraph" w:styleId="1004" w:customStyle="1">
    <w:name w:val="Body text (5)"/>
    <w:basedOn w:val="797"/>
    <w:link w:val="1002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1005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006" w:customStyle="1">
    <w:name w:val="extended-text__short"/>
    <w:basedOn w:val="807"/>
  </w:style>
  <w:style w:type="character" w:styleId="1007" w:customStyle="1">
    <w:name w:val="Основной текст (2)_"/>
    <w:link w:val="1008"/>
    <w:rPr>
      <w:sz w:val="26"/>
      <w:szCs w:val="26"/>
      <w:shd w:val="clear" w:color="auto" w:fill="ffffff"/>
    </w:rPr>
  </w:style>
  <w:style w:type="paragraph" w:styleId="1008" w:customStyle="1">
    <w:name w:val="Основной текст (2)1"/>
    <w:basedOn w:val="797"/>
    <w:link w:val="1007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9">
    <w:name w:val="Emphasis"/>
    <w:rPr>
      <w:i/>
      <w:iCs/>
    </w:rPr>
  </w:style>
  <w:style w:type="character" w:styleId="1010" w:customStyle="1">
    <w:name w:val="Название Знак"/>
    <w:link w:val="821"/>
    <w:rPr>
      <w:rFonts w:ascii="Cambria" w:hAnsi="Cambria" w:eastAsia="Times New Roman"/>
      <w:b/>
      <w:bCs/>
      <w:sz w:val="32"/>
      <w:szCs w:val="32"/>
    </w:rPr>
  </w:style>
  <w:style w:type="character" w:styleId="1011" w:customStyle="1">
    <w:name w:val="Подзаголовок Знак"/>
    <w:link w:val="823"/>
    <w:rPr>
      <w:rFonts w:ascii="Cambria" w:hAnsi="Cambria" w:eastAsia="Times New Roman"/>
      <w:sz w:val="24"/>
      <w:szCs w:val="24"/>
    </w:rPr>
  </w:style>
  <w:style w:type="character" w:styleId="1012" w:customStyle="1">
    <w:name w:val="Body text (4)_"/>
    <w:link w:val="1018"/>
    <w:rPr>
      <w:b/>
      <w:bCs/>
      <w:sz w:val="22"/>
      <w:szCs w:val="22"/>
      <w:shd w:val="clear" w:color="auto" w:fill="ffffff"/>
    </w:rPr>
  </w:style>
  <w:style w:type="character" w:styleId="1013" w:customStyle="1">
    <w:name w:val="Heading #3_"/>
    <w:link w:val="1019"/>
    <w:rPr>
      <w:b/>
      <w:bCs/>
      <w:sz w:val="28"/>
      <w:szCs w:val="28"/>
      <w:shd w:val="clear" w:color="auto" w:fill="ffffff"/>
    </w:rPr>
  </w:style>
  <w:style w:type="character" w:styleId="1014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5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6" w:customStyle="1">
    <w:name w:val="Body text (7)_"/>
    <w:link w:val="1020"/>
    <w:rPr>
      <w:rFonts w:ascii="Verdana" w:hAnsi="Verdana" w:eastAsia="Verdana"/>
      <w:sz w:val="8"/>
      <w:szCs w:val="8"/>
      <w:shd w:val="clear" w:color="auto" w:fill="ffffff"/>
    </w:rPr>
  </w:style>
  <w:style w:type="character" w:styleId="1017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bidi="ru-RU" w:eastAsia="ru-RU"/>
    </w:rPr>
  </w:style>
  <w:style w:type="paragraph" w:styleId="1018" w:customStyle="1">
    <w:name w:val="Body text (4)"/>
    <w:basedOn w:val="797"/>
    <w:link w:val="1012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1019" w:customStyle="1">
    <w:name w:val="Heading #3"/>
    <w:basedOn w:val="797"/>
    <w:link w:val="1013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1020" w:customStyle="1">
    <w:name w:val="Body text (7)"/>
    <w:basedOn w:val="797"/>
    <w:link w:val="1016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102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3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1024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DejaVu Sans" w:eastAsia="DejaVu Sans"/>
      <w:sz w:val="24"/>
      <w:szCs w:val="24"/>
      <w:lang w:bidi="hi-IN" w:eastAsia="hi-IN"/>
    </w:rPr>
  </w:style>
  <w:style w:type="paragraph" w:styleId="102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b/>
      <w:bCs/>
      <w:sz w:val="24"/>
      <w:szCs w:val="24"/>
      <w:lang w:bidi="ru-RU" w:eastAsia="zh-CN"/>
    </w:rPr>
  </w:style>
  <w:style w:type="paragraph" w:styleId="1026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1027">
    <w:name w:val="Grid Table Light"/>
    <w:basedOn w:val="808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8" w:customStyle="1">
    <w:name w:val="Нет списка1"/>
    <w:next w:val="809"/>
    <w:uiPriority w:val="99"/>
    <w:semiHidden/>
    <w:unhideWhenUsed/>
  </w:style>
  <w:style w:type="paragraph" w:styleId="102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1030" w:customStyle="1">
    <w:name w:val="ConsPlusCell"/>
    <w:pPr>
      <w:widowControl w:val="off"/>
    </w:pPr>
    <w:rPr>
      <w:rFonts w:ascii="Courier New" w:hAnsi="Courier New" w:cs="Courier New"/>
    </w:rPr>
  </w:style>
  <w:style w:type="paragraph" w:styleId="1031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 w:cs="Tahoma"/>
    </w:rPr>
  </w:style>
  <w:style w:type="paragraph" w:styleId="10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1034" w:customStyle="1">
    <w:name w:val="ConsPlusTextList"/>
    <w:pPr>
      <w:widowControl w:val="off"/>
    </w:pPr>
    <w:rPr>
      <w:rFonts w:ascii="Arial" w:hAnsi="Arial" w:cs="Arial"/>
    </w:rPr>
  </w:style>
  <w:style w:type="character" w:styleId="1035">
    <w:name w:val="annotation reference"/>
    <w:uiPriority w:val="99"/>
    <w:semiHidden/>
    <w:unhideWhenUsed/>
    <w:rPr>
      <w:sz w:val="16"/>
      <w:szCs w:val="16"/>
    </w:rPr>
  </w:style>
  <w:style w:type="paragraph" w:styleId="1036">
    <w:name w:val="annotation text"/>
    <w:basedOn w:val="797"/>
    <w:link w:val="1037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1037" w:customStyle="1">
    <w:name w:val="Текст примечания Знак"/>
    <w:link w:val="1036"/>
    <w:uiPriority w:val="99"/>
    <w:semiHidden/>
    <w:rPr>
      <w:rFonts w:ascii="Calibri" w:hAnsi="Calibri"/>
    </w:rPr>
  </w:style>
  <w:style w:type="paragraph" w:styleId="1038">
    <w:name w:val="annotation subject"/>
    <w:basedOn w:val="1036"/>
    <w:next w:val="1036"/>
    <w:link w:val="1039"/>
    <w:uiPriority w:val="99"/>
    <w:semiHidden/>
    <w:unhideWhenUsed/>
    <w:rPr>
      <w:b/>
      <w:bCs/>
    </w:rPr>
  </w:style>
  <w:style w:type="character" w:styleId="1039" w:customStyle="1">
    <w:name w:val="Тема примечания Знак"/>
    <w:link w:val="1038"/>
    <w:uiPriority w:val="99"/>
    <w:semiHidden/>
    <w:rPr>
      <w:rFonts w:ascii="Calibri" w:hAnsi="Calibri"/>
      <w:b/>
      <w:bCs/>
    </w:rPr>
  </w:style>
  <w:style w:type="paragraph" w:styleId="1040">
    <w:name w:val="Balloon Text"/>
    <w:basedOn w:val="797"/>
    <w:link w:val="10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41" w:customStyle="1">
    <w:name w:val="Текст выноски Знак"/>
    <w:link w:val="1040"/>
    <w:uiPriority w:val="99"/>
    <w:semiHidden/>
    <w:rPr>
      <w:rFonts w:ascii="Segoe UI" w:hAnsi="Segoe UI" w:cs="Segoe UI"/>
      <w:sz w:val="18"/>
      <w:szCs w:val="18"/>
    </w:rPr>
  </w:style>
  <w:style w:type="table" w:styleId="1042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3" w:customStyle="1">
    <w:name w:val="Table Paragraph"/>
    <w:basedOn w:val="797"/>
    <w:uiPriority w:val="1"/>
    <w:qFormat/>
    <w:pPr>
      <w:widowControl w:val="off"/>
    </w:pPr>
    <w:rPr>
      <w:sz w:val="22"/>
      <w:szCs w:val="22"/>
    </w:rPr>
  </w:style>
  <w:style w:type="paragraph" w:styleId="1044">
    <w:name w:val="Body Text"/>
    <w:basedOn w:val="797"/>
    <w:link w:val="1045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1045" w:customStyle="1">
    <w:name w:val="Основной текст Знак"/>
    <w:link w:val="1044"/>
    <w:rPr>
      <w:rFonts w:ascii="Calibri" w:hAnsi="Calibri"/>
      <w:sz w:val="22"/>
      <w:szCs w:val="22"/>
    </w:rPr>
  </w:style>
  <w:style w:type="character" w:styleId="1046">
    <w:name w:val="Strong"/>
    <w:uiPriority w:val="22"/>
    <w:qFormat/>
    <w:rPr>
      <w:b/>
      <w:bCs/>
    </w:rPr>
  </w:style>
  <w:style w:type="table" w:styleId="1047" w:customStyle="1">
    <w:name w:val="Сетка таблицы1"/>
    <w:basedOn w:val="808"/>
    <w:next w:val="835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 w:customStyle="1">
    <w:name w:val="Сетка таблицы11"/>
    <w:basedOn w:val="808"/>
    <w:next w:val="835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9" w:customStyle="1">
    <w:name w:val="Знак1"/>
    <w:basedOn w:val="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0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51" w:customStyle="1">
    <w:name w:val="Без интервала Знак"/>
    <w:link w:val="820"/>
    <w:uiPriority w:val="1"/>
    <w:rPr>
      <w:lang w:eastAsia="zh-CN"/>
    </w:rPr>
  </w:style>
  <w:style w:type="paragraph" w:styleId="1052" w:customStyle="1">
    <w:name w:val="Основной текст (2)"/>
    <w:basedOn w:val="797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10" Type="http://schemas.openxmlformats.org/officeDocument/2006/relationships/hyperlink" Target="consultantplus://offline/ref=2E1882AEF6B246E32922B1124904F6EB2A46FA3DC3F55CBC2C90B876B809D7E89F5CCF043F2A7121357D5D5E049D40C3D32F4BB6BF194F5Cl0V2J" TargetMode="External"/><Relationship Id="rId11" Type="http://schemas.openxmlformats.org/officeDocument/2006/relationships/hyperlink" Target="http://taz-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2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141</cp:revision>
  <dcterms:created xsi:type="dcterms:W3CDTF">2022-12-15T04:38:00Z</dcterms:created>
  <dcterms:modified xsi:type="dcterms:W3CDTF">2023-01-27T12:31:38Z</dcterms:modified>
</cp:coreProperties>
</file>