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6A" w:rsidRPr="002F296A" w:rsidRDefault="002F296A" w:rsidP="00D50BD4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</w:rPr>
        <w:t>ПОЛОЖЕНИЕ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2F296A" w:rsidRPr="002F296A" w:rsidRDefault="002F296A" w:rsidP="00D50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2F296A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2F296A" w:rsidRPr="002F296A" w:rsidRDefault="002F296A" w:rsidP="00D50BD4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2F296A" w:rsidRPr="002F296A" w:rsidRDefault="002F296A" w:rsidP="00D50BD4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2F296A" w:rsidRPr="002F296A" w:rsidRDefault="002F296A" w:rsidP="00D50BD4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2F296A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2F296A" w:rsidRPr="002F296A" w:rsidRDefault="002F296A" w:rsidP="00D50BD4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2F296A">
          <w:rPr>
            <w:rStyle w:val="af4"/>
            <w:rFonts w:ascii="PT Astra Serif" w:hAnsi="PT Astra Serif"/>
            <w:bCs/>
            <w:sz w:val="28"/>
            <w:szCs w:val="28"/>
          </w:rPr>
          <w:t>www.</w:t>
        </w:r>
      </w:hyperlink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2F296A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2F296A" w:rsidRPr="002F296A" w:rsidRDefault="002F296A" w:rsidP="00D50BD4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 </w:t>
      </w:r>
      <w:r w:rsidRPr="002F296A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</w:t>
      </w:r>
      <w:r w:rsidRPr="002F296A">
        <w:rPr>
          <w:rFonts w:ascii="PT Astra Serif" w:eastAsia="Calibri" w:hAnsi="PT Astra Serif"/>
          <w:sz w:val="28"/>
          <w:szCs w:val="28"/>
        </w:rPr>
        <w:t xml:space="preserve"> образовательных организаций Тазовского района</w:t>
      </w:r>
      <w:r w:rsidRPr="002F296A">
        <w:rPr>
          <w:rFonts w:ascii="PT Astra Serif" w:hAnsi="PT Astra Serif"/>
          <w:sz w:val="28"/>
          <w:szCs w:val="28"/>
        </w:rPr>
        <w:t>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2F296A" w:rsidRPr="002F296A" w:rsidRDefault="002F296A" w:rsidP="00D50BD4">
      <w:pPr>
        <w:pStyle w:val="ae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2F296A" w:rsidRPr="002F296A" w:rsidRDefault="002F296A" w:rsidP="00D50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2F296A" w:rsidRPr="002F296A" w:rsidRDefault="002F296A" w:rsidP="00D50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2F296A" w:rsidRPr="002F296A" w:rsidRDefault="002F296A" w:rsidP="00D50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</w:t>
      </w:r>
      <w:r w:rsidRPr="002F296A">
        <w:rPr>
          <w:rFonts w:ascii="PT Astra Serif" w:hAnsi="PT Astra Serif"/>
          <w:sz w:val="28"/>
          <w:szCs w:val="28"/>
        </w:rPr>
        <w:lastRenderedPageBreak/>
        <w:t xml:space="preserve">работающая в пределах единой системы критериев оценки испытаний, подразделяющаяся на следующие группы: 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2F296A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«Учитель года»;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«Воспитатель года»;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«Педагогический дебют»;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«Лучший директор школы»;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2F296A" w:rsidRPr="002F296A" w:rsidRDefault="002F296A" w:rsidP="00D50B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2.2.</w:t>
      </w:r>
      <w:r w:rsidRPr="002F296A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- </w:t>
      </w:r>
      <w:r w:rsidRPr="002F296A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2F296A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2F296A">
        <w:rPr>
          <w:rFonts w:ascii="PT Astra Serif" w:hAnsi="PT Astra Serif"/>
          <w:sz w:val="28"/>
          <w:szCs w:val="28"/>
        </w:rPr>
        <w:t>;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- </w:t>
      </w:r>
      <w:r w:rsidRPr="002F296A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2F296A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2F296A">
        <w:rPr>
          <w:rFonts w:ascii="PT Astra Serif" w:hAnsi="PT Astra Serif"/>
          <w:sz w:val="28"/>
          <w:szCs w:val="28"/>
        </w:rPr>
        <w:t>;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- </w:t>
      </w:r>
      <w:r w:rsidRPr="002F296A">
        <w:rPr>
          <w:rFonts w:ascii="PT Astra Serif" w:eastAsia="Calibri" w:hAnsi="PT Astra Serif"/>
          <w:bCs/>
          <w:sz w:val="28"/>
          <w:szCs w:val="28"/>
        </w:rPr>
        <w:t xml:space="preserve">в номинации </w:t>
      </w:r>
      <w:r w:rsidRPr="002F296A">
        <w:rPr>
          <w:rFonts w:ascii="PT Astra Serif" w:hAnsi="PT Astra Serif"/>
          <w:bCs/>
          <w:sz w:val="28"/>
          <w:szCs w:val="28"/>
        </w:rPr>
        <w:t xml:space="preserve">«Лучший директор школы» – </w:t>
      </w:r>
      <w:r w:rsidRPr="002F296A">
        <w:rPr>
          <w:rFonts w:ascii="PT Astra Serif" w:hAnsi="PT Astra Serif"/>
          <w:sz w:val="28"/>
          <w:szCs w:val="28"/>
        </w:rPr>
        <w:t>р</w:t>
      </w:r>
      <w:r w:rsidRPr="002F296A">
        <w:rPr>
          <w:rFonts w:ascii="PT Astra Serif" w:eastAsia="Calibri" w:hAnsi="PT Astra Serif"/>
          <w:bCs/>
          <w:sz w:val="28"/>
          <w:szCs w:val="28"/>
        </w:rPr>
        <w:t xml:space="preserve">уководители </w:t>
      </w:r>
      <w:r w:rsidRPr="002F296A">
        <w:rPr>
          <w:rFonts w:ascii="PT Astra Serif" w:eastAsia="Calibri" w:hAnsi="PT Astra Serif"/>
          <w:sz w:val="28"/>
          <w:szCs w:val="28"/>
        </w:rPr>
        <w:t>общеобразовательных организаций</w:t>
      </w:r>
      <w:r w:rsidRPr="002F296A">
        <w:rPr>
          <w:rFonts w:ascii="PT Astra Serif" w:eastAsia="Calibri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2F296A">
        <w:rPr>
          <w:rFonts w:ascii="PT Astra Serif" w:hAnsi="PT Astra Serif"/>
          <w:sz w:val="28"/>
          <w:szCs w:val="28"/>
        </w:rPr>
        <w:t>работы не менее 1 года;</w:t>
      </w:r>
    </w:p>
    <w:p w:rsidR="002F296A" w:rsidRPr="002F296A" w:rsidRDefault="002F296A" w:rsidP="00D50BD4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2F296A" w:rsidRPr="002F296A" w:rsidRDefault="002F296A" w:rsidP="00D50BD4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2F296A" w:rsidRPr="002F296A" w:rsidRDefault="002F296A" w:rsidP="00D50BD4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2.3.  К участию в конкурсе не допускаются: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2F296A" w:rsidRPr="002F296A" w:rsidRDefault="002F296A" w:rsidP="00D50BD4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F296A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2F296A" w:rsidRPr="002F296A" w:rsidRDefault="002F296A" w:rsidP="00D50BD4">
      <w:pPr>
        <w:pStyle w:val="ae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lastRenderedPageBreak/>
        <w:t xml:space="preserve">3.1. Устанавливаются следующие сроки проведения конкурса: 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«Учитель года», «Воспитатель года»,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 xml:space="preserve"> «Педагогический дебют», </w:t>
      </w:r>
      <w:r w:rsidRPr="002F296A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eastAsia="Calibri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F296A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2F296A">
          <w:rPr>
            <w:rStyle w:val="af4"/>
            <w:rFonts w:ascii="PT Astra Serif" w:hAnsi="PT Astra Serif"/>
            <w:bCs/>
            <w:sz w:val="28"/>
            <w:szCs w:val="28"/>
          </w:rPr>
          <w:t>www.</w:t>
        </w:r>
      </w:hyperlink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2F296A">
        <w:rPr>
          <w:rFonts w:ascii="PT Astra Serif" w:hAnsi="PT Astra Serif"/>
          <w:sz w:val="28"/>
          <w:szCs w:val="28"/>
          <w:u w:val="single"/>
        </w:rPr>
        <w:t>-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2F296A">
        <w:rPr>
          <w:rFonts w:ascii="PT Astra Serif" w:hAnsi="PT Astra Serif"/>
          <w:sz w:val="28"/>
          <w:szCs w:val="28"/>
          <w:u w:val="single"/>
        </w:rPr>
        <w:t>.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eastAsia="Calibri" w:hAnsi="PT Astra Serif"/>
          <w:sz w:val="28"/>
          <w:szCs w:val="28"/>
          <w:lang w:eastAsia="en-US"/>
        </w:rPr>
        <w:t>Прием д</w:t>
      </w:r>
      <w:r w:rsidRPr="002F296A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 xml:space="preserve">начинается </w:t>
      </w:r>
      <w:r w:rsidRPr="002F296A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2F296A">
          <w:rPr>
            <w:rStyle w:val="af4"/>
            <w:rFonts w:ascii="PT Astra Serif" w:hAnsi="PT Astra Serif"/>
            <w:sz w:val="28"/>
            <w:szCs w:val="28"/>
            <w:lang w:val="en-US"/>
          </w:rPr>
          <w:t>i</w:t>
        </w:r>
        <w:r w:rsidRPr="002F296A">
          <w:rPr>
            <w:rStyle w:val="af4"/>
            <w:rFonts w:ascii="PT Astra Serif" w:hAnsi="PT Astra Serif"/>
            <w:sz w:val="28"/>
            <w:szCs w:val="28"/>
          </w:rPr>
          <w:t>nbox@taz-edu.ru</w:t>
        </w:r>
      </w:hyperlink>
      <w:r w:rsidRPr="002F296A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eastAsia="Calibri" w:hAnsi="PT Astra Serif"/>
          <w:sz w:val="28"/>
          <w:szCs w:val="28"/>
          <w:lang w:eastAsia="en-US"/>
        </w:rPr>
        <w:t>3.2. </w:t>
      </w:r>
      <w:r w:rsidRPr="002F296A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2F296A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2F296A">
          <w:rPr>
            <w:rStyle w:val="af4"/>
            <w:rFonts w:ascii="PT Astra Serif" w:hAnsi="PT Astra Serif"/>
            <w:bCs/>
            <w:sz w:val="28"/>
            <w:szCs w:val="28"/>
          </w:rPr>
          <w:t>www.</w:t>
        </w:r>
      </w:hyperlink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2F296A">
        <w:rPr>
          <w:rFonts w:ascii="PT Astra Serif" w:hAnsi="PT Astra Serif"/>
          <w:sz w:val="28"/>
          <w:szCs w:val="28"/>
          <w:u w:val="single"/>
        </w:rPr>
        <w:t>-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2F296A">
        <w:rPr>
          <w:rFonts w:ascii="PT Astra Serif" w:hAnsi="PT Astra Serif"/>
          <w:sz w:val="28"/>
          <w:szCs w:val="28"/>
          <w:u w:val="single"/>
        </w:rPr>
        <w:t>.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2F296A" w:rsidRPr="002F296A" w:rsidRDefault="002F296A" w:rsidP="00D50BD4">
      <w:pPr>
        <w:pStyle w:val="ae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3.3. Оргкомитет конкурса: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2F296A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2F296A">
          <w:rPr>
            <w:rStyle w:val="af4"/>
            <w:rFonts w:ascii="PT Astra Serif" w:hAnsi="PT Astra Serif"/>
            <w:bCs/>
            <w:sz w:val="28"/>
            <w:szCs w:val="28"/>
          </w:rPr>
          <w:t>www.</w:t>
        </w:r>
      </w:hyperlink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2F296A">
        <w:rPr>
          <w:rFonts w:ascii="PT Astra Serif" w:hAnsi="PT Astra Serif"/>
          <w:sz w:val="28"/>
          <w:szCs w:val="28"/>
          <w:u w:val="single"/>
        </w:rPr>
        <w:t>-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2F296A">
        <w:rPr>
          <w:rFonts w:ascii="PT Astra Serif" w:hAnsi="PT Astra Serif"/>
          <w:sz w:val="28"/>
          <w:szCs w:val="28"/>
          <w:u w:val="single"/>
        </w:rPr>
        <w:t>.</w:t>
      </w:r>
      <w:r w:rsidRPr="002F296A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2F296A">
        <w:rPr>
          <w:rFonts w:ascii="PT Astra Serif" w:hAnsi="PT Astra Serif"/>
          <w:sz w:val="28"/>
          <w:szCs w:val="28"/>
        </w:rPr>
        <w:t>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2F296A" w:rsidRPr="002F296A" w:rsidRDefault="002F296A" w:rsidP="00D50B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2F296A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2F296A" w:rsidRPr="002F296A" w:rsidRDefault="002F296A" w:rsidP="00D50BD4">
      <w:pPr>
        <w:pStyle w:val="ae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Большое жюри;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2F296A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2F296A">
        <w:rPr>
          <w:rFonts w:ascii="PT Astra Serif" w:hAnsi="PT Astra Serif"/>
          <w:bCs/>
          <w:sz w:val="28"/>
          <w:szCs w:val="28"/>
        </w:rPr>
        <w:t>онкурса педагогического  мастерства, утверждённым постановлением Администрации Тазовского района.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 xml:space="preserve">Оценивание конкурсных испытаний проводится жюри конкурса в день </w:t>
      </w:r>
      <w:r w:rsidRPr="002F296A">
        <w:rPr>
          <w:rFonts w:ascii="PT Astra Serif" w:hAnsi="PT Astra Serif"/>
          <w:bCs/>
          <w:sz w:val="28"/>
          <w:szCs w:val="28"/>
        </w:rPr>
        <w:lastRenderedPageBreak/>
        <w:t>его проведения по окончании конкурсного испытания.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4.3. </w:t>
      </w:r>
      <w:r w:rsidRPr="002F296A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4.4.</w:t>
      </w:r>
      <w:r w:rsidRPr="002F296A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2F296A">
        <w:rPr>
          <w:rFonts w:ascii="PT Astra Serif" w:hAnsi="PT Astra Serif"/>
          <w:sz w:val="28"/>
          <w:szCs w:val="28"/>
        </w:rPr>
        <w:t xml:space="preserve">занявший 2 место и </w:t>
      </w:r>
      <w:r w:rsidRPr="002F296A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2F296A">
        <w:rPr>
          <w:rFonts w:ascii="PT Astra Serif" w:hAnsi="PT Astra Serif"/>
          <w:sz w:val="28"/>
          <w:szCs w:val="28"/>
        </w:rPr>
        <w:t xml:space="preserve">занявший 3 место и </w:t>
      </w:r>
      <w:r w:rsidRPr="002F296A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2F296A" w:rsidRPr="002F296A" w:rsidRDefault="002F296A" w:rsidP="00D50B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296A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2F296A">
        <w:rPr>
          <w:rFonts w:ascii="PT Astra Serif" w:hAnsi="PT Astra Serif"/>
          <w:b/>
          <w:bCs/>
          <w:sz w:val="28"/>
          <w:szCs w:val="28"/>
        </w:rPr>
        <w:t>.</w:t>
      </w: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2F296A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 в номинации «Я – воспитатель школы-интерната» -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2F296A" w:rsidRPr="002F296A" w:rsidRDefault="002F296A" w:rsidP="00D50B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- в номинации «Учитель года» – сувениром с «большим» символом конкурсной номинации, дипломом победителя конкурса за подписью </w:t>
      </w:r>
      <w:r w:rsidRPr="002F296A">
        <w:rPr>
          <w:rFonts w:ascii="PT Astra Serif" w:hAnsi="PT Astra Serif"/>
          <w:sz w:val="28"/>
          <w:szCs w:val="28"/>
        </w:rPr>
        <w:lastRenderedPageBreak/>
        <w:t>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2F296A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2F296A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2F296A">
        <w:rPr>
          <w:rFonts w:ascii="PT Astra Serif" w:hAnsi="PT Astra Serif"/>
          <w:bCs/>
          <w:sz w:val="28"/>
          <w:szCs w:val="28"/>
        </w:rPr>
        <w:t>сувениром</w:t>
      </w:r>
      <w:r w:rsidRPr="002F296A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2F296A">
        <w:rPr>
          <w:rFonts w:ascii="PT Astra Serif" w:hAnsi="PT Astra Serif"/>
          <w:bCs/>
          <w:sz w:val="28"/>
          <w:szCs w:val="28"/>
        </w:rPr>
        <w:t xml:space="preserve"> </w:t>
      </w:r>
      <w:r w:rsidRPr="002F296A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2F296A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2F296A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2F296A" w:rsidRPr="002F296A" w:rsidRDefault="002F296A" w:rsidP="00D50BD4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F296A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2F296A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2F296A" w:rsidRPr="002F296A" w:rsidRDefault="002F296A" w:rsidP="00D50BD4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2F296A" w:rsidRPr="002F296A" w:rsidRDefault="002F296A" w:rsidP="00D50BD4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6.1. Финансирование проведения конкурса осуществляется за счет средств муниципального бюджета в рамках реализации мероприятий </w:t>
      </w:r>
      <w:r w:rsidRPr="002F296A">
        <w:rPr>
          <w:rFonts w:ascii="PT Astra Serif" w:eastAsia="Calibri" w:hAnsi="PT Astra Serif"/>
          <w:sz w:val="28"/>
          <w:szCs w:val="28"/>
        </w:rPr>
        <w:t>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2F296A" w:rsidRPr="002F296A" w:rsidRDefault="002F296A" w:rsidP="00D50B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2F296A" w:rsidRPr="002F296A" w:rsidRDefault="002F296A" w:rsidP="00D50B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2F296A" w:rsidRPr="002F296A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296A" w:rsidRPr="002F296A" w:rsidRDefault="002F296A" w:rsidP="00D50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2F296A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№ 2</w:t>
      </w:r>
    </w:p>
    <w:p w:rsidR="002F296A" w:rsidRPr="002F296A" w:rsidRDefault="002F296A" w:rsidP="00D50BD4">
      <w:pPr>
        <w:shd w:val="clear" w:color="auto" w:fill="FFFFFF"/>
        <w:tabs>
          <w:tab w:val="left" w:pos="6521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2F296A" w:rsidRPr="002F296A" w:rsidRDefault="002F296A" w:rsidP="00D50BD4">
      <w:pPr>
        <w:shd w:val="clear" w:color="auto" w:fill="FFFFFF"/>
        <w:spacing w:after="0" w:line="240" w:lineRule="auto"/>
        <w:ind w:firstLine="709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2F296A" w:rsidRPr="002F296A" w:rsidRDefault="002F296A" w:rsidP="00D50BD4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2F296A" w:rsidRPr="002F296A" w:rsidRDefault="002F296A" w:rsidP="00D50BD4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r w:rsidRPr="002F296A">
        <w:rPr>
          <w:rFonts w:ascii="PT Astra Serif" w:hAnsi="PT Astra Serif"/>
          <w:b/>
        </w:rPr>
        <w:t>ПОРЯДОК</w:t>
      </w:r>
    </w:p>
    <w:p w:rsidR="002F296A" w:rsidRPr="002F296A" w:rsidRDefault="002F296A" w:rsidP="00D50BD4">
      <w:pPr>
        <w:pStyle w:val="1"/>
        <w:ind w:firstLine="709"/>
        <w:contextualSpacing/>
        <w:jc w:val="center"/>
        <w:rPr>
          <w:rFonts w:ascii="PT Astra Serif" w:hAnsi="PT Astra Serif"/>
        </w:rPr>
      </w:pPr>
      <w:r w:rsidRPr="002F296A">
        <w:rPr>
          <w:rFonts w:ascii="PT Astra Serif" w:hAnsi="PT Astra Serif"/>
        </w:rPr>
        <w:t>проведения муниципального конкурса</w:t>
      </w:r>
      <w:bookmarkEnd w:id="0"/>
      <w:r w:rsidRPr="002F296A">
        <w:rPr>
          <w:rFonts w:ascii="PT Astra Serif" w:hAnsi="PT Astra Serif"/>
        </w:rPr>
        <w:t xml:space="preserve">  педагогического мастерства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  <w:lang w:val="en-US"/>
        </w:rPr>
        <w:t>I</w:t>
      </w:r>
      <w:r w:rsidRPr="002F296A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2F296A" w:rsidRPr="002F296A" w:rsidRDefault="002F296A" w:rsidP="00D50BD4">
      <w:pPr>
        <w:tabs>
          <w:tab w:val="left" w:pos="8724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2F296A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2F296A">
        <w:rPr>
          <w:rFonts w:ascii="PT Astra Serif" w:hAnsi="PT Astra Serif"/>
          <w:sz w:val="28"/>
          <w:szCs w:val="28"/>
        </w:rPr>
        <w:t>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2F296A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2F296A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  <w:lang w:val="en-US"/>
        </w:rPr>
        <w:t>II</w:t>
      </w:r>
      <w:r w:rsidRPr="002F296A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2.1. </w:t>
      </w:r>
      <w:r w:rsidRPr="002F296A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2F296A" w:rsidRPr="002F296A" w:rsidRDefault="002F296A" w:rsidP="00D50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2F296A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2F296A">
        <w:rPr>
          <w:rFonts w:ascii="PT Astra Serif" w:eastAsia="Calibri" w:hAnsi="PT Astra Serif"/>
          <w:sz w:val="28"/>
          <w:szCs w:val="28"/>
          <w:lang w:val="en-US" w:eastAsia="en-US"/>
        </w:rPr>
        <w:t>www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F296A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2F296A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2F296A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2F296A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2F296A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2F296A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2F29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F296A">
        <w:rPr>
          <w:rFonts w:ascii="PT Astra Serif" w:hAnsi="PT Astra Serif"/>
          <w:sz w:val="28"/>
          <w:szCs w:val="28"/>
        </w:rPr>
        <w:t>(далее – сайт конкурса).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2F296A">
        <w:rPr>
          <w:rFonts w:ascii="PT Astra Serif" w:hAnsi="PT Astra Serif"/>
          <w:color w:val="000000"/>
          <w:sz w:val="28"/>
          <w:szCs w:val="28"/>
        </w:rPr>
        <w:lastRenderedPageBreak/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2.4. Материалы, представляемые в оргкомитет, не возвращаются.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F296A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«Учитель года»;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«Воспитатель года»;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«Педагогический дебют»;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«Лучший директор школы»;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 Конкурсная номинация </w:t>
      </w:r>
      <w:r w:rsidRPr="002F296A">
        <w:rPr>
          <w:rFonts w:ascii="PT Astra Serif" w:hAnsi="PT Astra Serif"/>
          <w:b/>
          <w:sz w:val="28"/>
          <w:szCs w:val="28"/>
        </w:rPr>
        <w:t>«Учитель года».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3.2.1. Номинация проходит в очной  (3 этапа) и заочной (2 этапа) формах. Конкурсные испытания транслируются на сайте конкурса. В двух заочных и  первом очном этапах принимают участие все конкурсанты. Во втором очном этапе – лауреаты конкурса (5 человек). В третьем очном этапе – призеры конкурса (3 человека).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3.2.2. Заочный этап «Методическое портфолио».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Заочный этап «Методическое портфолио» включает 3 конкурсных испытания: «Визитная карточка», «Интернет-ресурс» и «Я – учитель». Срок проведения  – за 10 дней до начала очного этапа конкурса. В заочном этапе проводится экспертиза методического портфолио участников конкурса, размещённого на интернет-ресурсе конкурсанта и на сайте конкурса.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Максимальное количество баллов за оба конкурсных испытания заочного этапа «Методическое портфолио» – 56 баллов.</w:t>
      </w:r>
    </w:p>
    <w:p w:rsidR="002F296A" w:rsidRPr="002F296A" w:rsidRDefault="002F296A" w:rsidP="00D50BD4">
      <w:pPr>
        <w:pStyle w:val="ae"/>
        <w:tabs>
          <w:tab w:val="clear" w:pos="778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3.2.2.1.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«Интернет-ресурс».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Цель -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7 показателей (таблица 1). Соответствие конкретному показателю оценивается в 0 или 1 балл.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2F296A">
        <w:rPr>
          <w:rFonts w:ascii="PT Astra Serif" w:hAnsi="PT Astra Serif"/>
        </w:rPr>
        <w:t>* Все критерии и показатели являются равнозначными, а порядок их перечисления не имеет приоритетного значения.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 1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992"/>
      </w:tblGrid>
      <w:tr w:rsidR="002F296A" w:rsidRPr="002F296A" w:rsidTr="00B276B0">
        <w:trPr>
          <w:trHeight w:val="86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20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984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Балл</w:t>
            </w:r>
          </w:p>
        </w:tc>
      </w:tr>
      <w:tr w:rsidR="002F296A" w:rsidRPr="002F296A" w:rsidTr="00B276B0">
        <w:trPr>
          <w:trHeight w:val="257"/>
        </w:trPr>
        <w:tc>
          <w:tcPr>
            <w:tcW w:w="2835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992"/>
      </w:tblGrid>
      <w:tr w:rsidR="002F296A" w:rsidRPr="002F296A" w:rsidTr="00B276B0">
        <w:trPr>
          <w:trHeight w:val="257"/>
          <w:tblHeader/>
        </w:trPr>
        <w:tc>
          <w:tcPr>
            <w:tcW w:w="2835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4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Информационная насыщенность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количество представленной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69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19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содержания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66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тематическая организованность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1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научная корректность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0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методическая грамотность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понятное меню (рубрикация)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удобство навигации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разумная скорость загрузки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удобный формат для коммуникации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языковая культура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4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инструкций и пояснений для пользователей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4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Эффективность обратной связи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возможностей для обратной связи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доступность обратной связи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контактных данных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возможности для обсуждений и дискуссий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9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удобство использования механизмов обратной связи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1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систематичность и адресная помощь в проведении обратной связи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3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9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Актуальность информации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регулярность обновления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связь информации с текущими событиями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информации о нормативно-правовой базе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групп пользователей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новизна и оригинальность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возможности создания детско-взрослых виртуальных сообществ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9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8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Оригинальность и адекватность дизайна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выстроенная информационная архитектура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грамотные цветовые решения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оригинальность стиля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корректность обработки графики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учёт требований здоровьесбережения в дизайне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4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внешний вид размещённой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655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984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35</w:t>
            </w:r>
          </w:p>
        </w:tc>
      </w:tr>
    </w:tbl>
    <w:p w:rsidR="002F296A" w:rsidRPr="002F296A" w:rsidRDefault="002F296A" w:rsidP="00D50BD4">
      <w:pPr>
        <w:pStyle w:val="ae"/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3.2.2.2.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«Я – учитель».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lastRenderedPageBreak/>
        <w:t xml:space="preserve">Цель -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Формат конкурсного испытания - текст эссе (до 5 страниц), тема которого определяется учредителями конкурса и объявляется на установочном семинаре. Время написания эссе в аудитории, оснащенной видеокамерами, – до 4 часов.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Во время написания и сканирования эссе производится видеозапись, которая направляется в оргкомитет. При написании эссе использование технических средств и дополнительных материалов не допускается.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7 критериям, каждый из которых включает 2 – 4 показателя (таблица 2). Соответствие конкретному показателю оценивается в 0 или 1 балл.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2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73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1026"/>
      </w:tblGrid>
      <w:tr w:rsidR="002F296A" w:rsidRPr="002F296A" w:rsidTr="00B276B0"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20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018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Балл</w:t>
            </w:r>
          </w:p>
        </w:tc>
      </w:tr>
      <w:tr w:rsidR="002F296A" w:rsidRPr="002F296A" w:rsidTr="00B276B0">
        <w:tc>
          <w:tcPr>
            <w:tcW w:w="2835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да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73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1026"/>
      </w:tblGrid>
      <w:tr w:rsidR="002F296A" w:rsidRPr="002F296A" w:rsidTr="00B276B0">
        <w:trPr>
          <w:tblHeader/>
        </w:trPr>
        <w:tc>
          <w:tcPr>
            <w:tcW w:w="2835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4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речевая грамотность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грамотность в области грамматики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орфографическая грамотность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556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пунктуационная грамотность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5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Обоснование актуальности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широта и масштабность взгляда на профессию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6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видеть тенденции развития образования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413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Наличие ценностных ориентиров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3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постановка воспитательных целей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445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58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Аргументированность позиции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чёткость аргументов, отделение фактов от мнений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2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иллюстрирующих примеров и фактов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6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выводов и обобщения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36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формулировать проблемы и видеть пути их решения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чёткость и обоснованность при формулировании проблем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423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  <w:i/>
              </w:rPr>
            </w:pPr>
            <w:r w:rsidRPr="002F296A">
              <w:rPr>
                <w:rFonts w:ascii="PT Astra Serif" w:hAnsi="PT Astra Serif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6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нестандартность предлагаемых решений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32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Рефлексивность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27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3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lastRenderedPageBreak/>
              <w:t xml:space="preserve">Оригинальность изложения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художественный стиль и нестандартность изложения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48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яркость и образность изложения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51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ясность и целостность изложения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1026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655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018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21</w:t>
            </w:r>
          </w:p>
        </w:tc>
      </w:tr>
    </w:tbl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3.2.2.3.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«Визитная карточка».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Видеоролик (участники сами определяют жанр видеоролика (интервью, репортаж, видеоклип, мультфильм и т.п.),</w:t>
      </w:r>
      <w:r w:rsidRPr="002F296A">
        <w:rPr>
          <w:rFonts w:ascii="PT Astra Serif" w:hAnsi="PT Astra Serif"/>
        </w:rPr>
        <w:t xml:space="preserve"> </w:t>
      </w:r>
      <w:r w:rsidRPr="002F296A">
        <w:rPr>
          <w:rFonts w:ascii="PT Astra Serif" w:hAnsi="PT Astra Serif"/>
          <w:sz w:val="28"/>
          <w:szCs w:val="28"/>
        </w:rPr>
        <w:t>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Формат видеоролика: продолжительность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участника, образовательной организации, которую он представляет. 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3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755"/>
        <w:gridCol w:w="4681"/>
        <w:gridCol w:w="964"/>
        <w:gridCol w:w="962"/>
      </w:tblGrid>
      <w:tr w:rsidR="002F296A" w:rsidRPr="002F296A" w:rsidTr="00B276B0">
        <w:tc>
          <w:tcPr>
            <w:tcW w:w="1471" w:type="pct"/>
            <w:vMerge w:val="restar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2500" w:type="pct"/>
            <w:vMerge w:val="restar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029" w:type="pct"/>
            <w:gridSpan w:val="2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Балл</w:t>
            </w:r>
          </w:p>
        </w:tc>
      </w:tr>
      <w:tr w:rsidR="002F296A" w:rsidRPr="002F296A" w:rsidTr="00B276B0"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00" w:type="pct"/>
            <w:vMerge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да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755"/>
        <w:gridCol w:w="4681"/>
        <w:gridCol w:w="964"/>
        <w:gridCol w:w="962"/>
      </w:tblGrid>
      <w:tr w:rsidR="002F296A" w:rsidRPr="002F296A" w:rsidTr="00B276B0">
        <w:trPr>
          <w:tblHeader/>
        </w:trPr>
        <w:tc>
          <w:tcPr>
            <w:tcW w:w="1471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4</w:t>
            </w:r>
          </w:p>
        </w:tc>
      </w:tr>
      <w:tr w:rsidR="002F296A" w:rsidRPr="002F296A" w:rsidTr="00B276B0">
        <w:tc>
          <w:tcPr>
            <w:tcW w:w="1471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Соответствие теме</w:t>
            </w: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соответствие содержания целевым установкам конкурса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5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 w:val="restar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Информативность</w:t>
            </w: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раскрытие разносторонних личностных качеств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36"/>
        </w:trPr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ясность идеи 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эстетичность дизайна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 w:val="restar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Оригинальность</w:t>
            </w: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артистичность, эмоциональность и яркость 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 w:val="restar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полнота и корректность подачи информации</w:t>
            </w: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уместность и сбалансированность информации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рациональное использование отведенного времени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1471" w:type="pct"/>
            <w:vMerge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представить себя и общая культура речи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515" w:type="pct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c>
          <w:tcPr>
            <w:tcW w:w="3971" w:type="pct"/>
            <w:gridSpan w:val="2"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029" w:type="pct"/>
            <w:gridSpan w:val="2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20</w:t>
            </w:r>
          </w:p>
        </w:tc>
      </w:tr>
    </w:tbl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3.2.3. Первый (очный) этап («Учитель-профи»).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Первый (очный) этап («Учитель-профи») включает 2 конкурсных испытания: «Урок» и «Методический семинар».</w:t>
      </w:r>
    </w:p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3.2.3.1.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«Урок».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2F296A">
        <w:rPr>
          <w:rFonts w:ascii="PT Astra Serif" w:hAnsi="PT Astra Serif"/>
          <w:sz w:val="28"/>
          <w:szCs w:val="28"/>
        </w:rPr>
        <w:t>Цель - раскрытие конкурсантами своего профессионального мастерства в условиях планирования, проведения и анализа эффективности урока (учебного занятия), проявление знания своего предмета, творческого потенциала, самостоятельности, умения ориентироваться в ситуации и способности выстраивания межпредметных и метапредметных связей в обучении.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Формат конкурсного испытания: урок по предмету (регламент – 45 минут, самоанализ урока и вопросы жюри – 10 минут), который проводится в </w:t>
      </w:r>
      <w:r w:rsidRPr="002F296A">
        <w:rPr>
          <w:rFonts w:ascii="PT Astra Serif" w:hAnsi="PT Astra Serif"/>
          <w:sz w:val="28"/>
          <w:szCs w:val="28"/>
        </w:rPr>
        <w:lastRenderedPageBreak/>
        <w:t>образовательной организации, утверждённой оргкомитетом в качестве площадки проведения первого и второго этапов конкурса. Темы уроков согласовываются с образовательной организацией 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которые публикуются на сайте конкурса за 2 дня до начала конкурсных испытаний и доводятся до сведения членов жюри.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10 критериям, каждый из которых включает 5 показателей (таблица 4). Соответствие конкретному показателю оценивается в диапазоне от 0 до 2 баллов. В случае несоответствия урока установленной теме выполнение испытания автоматически оценивается в 0 баллов.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4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992"/>
      </w:tblGrid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20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984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Балл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835"/>
        <w:gridCol w:w="4820"/>
        <w:gridCol w:w="992"/>
        <w:gridCol w:w="992"/>
      </w:tblGrid>
      <w:tr w:rsidR="002F296A" w:rsidRPr="002F296A" w:rsidTr="00B276B0">
        <w:trPr>
          <w:trHeight w:val="20"/>
          <w:tblHeader/>
        </w:trPr>
        <w:tc>
          <w:tcPr>
            <w:tcW w:w="2835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4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Информационная и языковая грамотность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навыки в информационных технологиях и компьютерных коммуникациях, культура поведения в виртуальной среде и визуализация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языковая культура учителя и обучающихся (наличие испытаний на составление связного текста и развитие культуры речи)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Результативность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достижение предметных результатов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достижение метапредметных результатов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достижение личностных результатов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соотнесение действий с планируемыми результатами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Методическое мастерство и творчество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методов и приёмов, смена видов деятельности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соответствие методов и приемов </w:t>
            </w:r>
            <w:r w:rsidRPr="002F296A">
              <w:rPr>
                <w:rFonts w:ascii="PT Astra Serif" w:hAnsi="PT Astra Serif"/>
              </w:rPr>
              <w:lastRenderedPageBreak/>
              <w:t>целеполаганию (реализации цели, решению задач, достижению результатов)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lastRenderedPageBreak/>
              <w:t xml:space="preserve">Мотивирование к обучению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различных способов мотивации и умение удивить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Рефлексивность и оценивание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объективность и открытость оценивания, связь с целеполаганием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понятность процедуры и критериев оценивания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Организационная культура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постановка и понимание целей, задач и ожидаемых результатов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инструкций и пояснений для выполнения испытаний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установление правил и процедур совместной работы на уроке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Эффективная коммуникация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организация взаимодействия и сотрудничества обучающихся между собой, с учителем и с различными источниками информации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83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развитие навыков конструктивного диалогав том числе и при самоанализе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ценностных ориентиров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создание ситуаций для обсуждения и </w:t>
            </w:r>
            <w:r w:rsidRPr="002F296A">
              <w:rPr>
                <w:rFonts w:ascii="PT Astra Serif" w:hAnsi="PT Astra Serif"/>
              </w:rPr>
              <w:lastRenderedPageBreak/>
              <w:t>принятия общих ценностей гражданской направленности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406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lastRenderedPageBreak/>
              <w:t>Метапредметный и междисциплинарный подход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формирование универсальных учебных действий разных видов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593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80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603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1122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2F296A">
              <w:rPr>
                <w:rFonts w:ascii="PT Astra Serif" w:hAnsi="PT Astra Serif"/>
                <w:lang w:val="en-US"/>
              </w:rPr>
              <w:t> </w:t>
            </w:r>
            <w:r w:rsidRPr="002F296A">
              <w:rPr>
                <w:rFonts w:ascii="PT Astra Serif" w:hAnsi="PT Astra Serif"/>
              </w:rPr>
              <w:t>п.)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создание на уроке ситуаций для выбора и самоопределения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20"/>
        </w:trPr>
        <w:tc>
          <w:tcPr>
            <w:tcW w:w="2835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992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655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984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4"/>
              </w:rPr>
            </w:pPr>
            <w:r w:rsidRPr="002F296A">
              <w:rPr>
                <w:rFonts w:ascii="PT Astra Serif" w:hAnsi="PT Astra Serif"/>
                <w:spacing w:val="-4"/>
              </w:rPr>
              <w:t>100</w:t>
            </w:r>
          </w:p>
        </w:tc>
      </w:tr>
    </w:tbl>
    <w:p w:rsidR="002F296A" w:rsidRPr="002F296A" w:rsidRDefault="002F296A" w:rsidP="00D50BD4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pStyle w:val="ae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3.2.3.2.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«Методический семинар».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Цель -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начального, основного и среднего общего образования (далее – ФГОС), профессионального </w:t>
      </w:r>
      <w:hyperlink r:id="rId14" w:history="1">
        <w:r w:rsidRPr="002F296A">
          <w:rPr>
            <w:rFonts w:ascii="PT Astra Serif" w:hAnsi="PT Astra Serif"/>
            <w:sz w:val="28"/>
            <w:szCs w:val="28"/>
          </w:rPr>
          <w:t>стандарт</w:t>
        </w:r>
      </w:hyperlink>
      <w:r w:rsidRPr="002F296A">
        <w:rPr>
          <w:rFonts w:ascii="PT Astra Serif" w:hAnsi="PT Astra Serif"/>
          <w:sz w:val="28"/>
          <w:szCs w:val="28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 544н (далее – профессиональный стандарт «Педагог»).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Формат конкурсного испытания: методический семинар (регламент – 20 минут) проводится после завершения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</w:t>
      </w:r>
      <w:r w:rsidRPr="002F296A">
        <w:rPr>
          <w:rFonts w:ascii="PT Astra Serif" w:hAnsi="PT Astra Serif"/>
          <w:sz w:val="28"/>
          <w:szCs w:val="28"/>
        </w:rPr>
        <w:lastRenderedPageBreak/>
        <w:t>технологий и методик, направленных на реализацию требований ФГОС и профессионального стандарта «Педагог». Затем в течение 10 – 15 минут проходит диалог членов жюри с конкурсантом в форме вопросов и ответов.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 (таблица 5). Соответствие конкретному показателю оценивается в диапазоне от 0 до 2 баллов.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5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727"/>
        <w:gridCol w:w="4820"/>
        <w:gridCol w:w="1100"/>
        <w:gridCol w:w="992"/>
      </w:tblGrid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20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092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Балл</w:t>
            </w:r>
          </w:p>
        </w:tc>
      </w:tr>
      <w:tr w:rsidR="002F296A" w:rsidRPr="002F296A" w:rsidTr="00B276B0">
        <w:tc>
          <w:tcPr>
            <w:tcW w:w="2727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0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727"/>
        <w:gridCol w:w="4820"/>
        <w:gridCol w:w="1100"/>
        <w:gridCol w:w="992"/>
      </w:tblGrid>
      <w:tr w:rsidR="002F296A" w:rsidRPr="002F296A" w:rsidTr="00B276B0">
        <w:trPr>
          <w:tblHeader/>
        </w:trPr>
        <w:tc>
          <w:tcPr>
            <w:tcW w:w="2727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1100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4</w:t>
            </w:r>
          </w:p>
        </w:tc>
      </w:tr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Результативность и практическая применимость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635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00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Коммуникативная культура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вести диалог и понимать суть обсуждаемых проблем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26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точность и полнота ответов на вопросы экспертов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00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целеполагание и проведение рефлексии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Оригинальность и творческий подход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92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00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проявление индивидуальности и отход от существующих шаблонов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Научная корректность и методическая грамотность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61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5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технологичность и логическая последовательность в представлении опыта педагогической деятельности (выстраивание шагов и </w:t>
            </w:r>
            <w:r w:rsidRPr="002F296A">
              <w:rPr>
                <w:rFonts w:ascii="PT Astra Serif" w:hAnsi="PT Astra Serif"/>
              </w:rPr>
              <w:lastRenderedPageBreak/>
              <w:t>наличие алгоритмов)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c>
          <w:tcPr>
            <w:tcW w:w="2727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Информационная и языковая грамотность </w:t>
            </w: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визуализация информации и иллюстративность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65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00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98"/>
        </w:trPr>
        <w:tc>
          <w:tcPr>
            <w:tcW w:w="2727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20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педагогический кругозор и общая эрудиция</w:t>
            </w:r>
          </w:p>
        </w:tc>
        <w:tc>
          <w:tcPr>
            <w:tcW w:w="1100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1"/>
        </w:trPr>
        <w:tc>
          <w:tcPr>
            <w:tcW w:w="7547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092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50</w:t>
            </w:r>
          </w:p>
        </w:tc>
      </w:tr>
    </w:tbl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3.2.4. Второй (очный) этап («Учитель-мастер»).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Второй (очный) этап («Учитель-мастер») включает 3 конкурсных испытания: «Мастер-класс», «Педагогический совет» и «Образовательный проект».</w:t>
      </w:r>
    </w:p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3.2.4.1.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«Мастер-класс».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Цель -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минут, вопросы жюри и ответы участника – до 5 минут. Оценка выполнения конкурсного испытания осуществляется по 10 критериям, каждый из которых включает 5 показателей (таблица 6). Соответствие конкретному показателю оценивается в диапазоне от 0 до 2 баллов.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6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2F296A" w:rsidRPr="002F296A" w:rsidTr="00B276B0">
        <w:tc>
          <w:tcPr>
            <w:tcW w:w="2694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rPr>
          <w:tblHeader/>
        </w:trPr>
        <w:tc>
          <w:tcPr>
            <w:tcW w:w="269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2F296A" w:rsidRPr="002F296A" w:rsidTr="00B276B0">
        <w:trPr>
          <w:trHeight w:val="173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Актуальность и методическое обоснование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6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6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57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6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методических приёмов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подход и импровизация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5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Исследовательская компетентность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4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3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мониторинг индивидуальных достижений обучающихся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0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0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4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Коммуникативная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Рефлексивная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Информационная и </w:t>
            </w:r>
            <w:r w:rsidRPr="002F296A">
              <w:rPr>
                <w:rFonts w:ascii="PT Astra Serif" w:hAnsi="PT Astra Serif"/>
              </w:rPr>
              <w:lastRenderedPageBreak/>
              <w:t>языковая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lastRenderedPageBreak/>
              <w:t xml:space="preserve">корректность и грамотность использования </w:t>
            </w:r>
            <w:r w:rsidRPr="002F296A">
              <w:rPr>
                <w:rFonts w:ascii="PT Astra Serif" w:hAnsi="PT Astra Serif"/>
              </w:rPr>
              <w:lastRenderedPageBreak/>
              <w:t>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1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3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4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3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794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794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794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794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33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Метапредметность и универсальность подходов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56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Развивающий характер и результативность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54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2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выдвижение планируемых результатов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54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1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99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2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9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9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наличие количественных и качественных показателей достижения результата и проведение </w:t>
            </w:r>
            <w:r w:rsidRPr="002F296A">
              <w:rPr>
                <w:rFonts w:ascii="PT Astra Serif" w:hAnsi="PT Astra Serif"/>
              </w:rPr>
              <w:lastRenderedPageBreak/>
              <w:t>оценки результативности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71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планирование и подведение итогов (анализ и осмысление)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513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100</w:t>
            </w:r>
          </w:p>
        </w:tc>
      </w:tr>
    </w:tbl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3.2.4.2.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«Педагогический совет».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Цель - организация открытого профессионального пространства для обсуждения существующих проблем, путей (способов) их решения и перспектив развития образования.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Тема педагогического совета определяется учредителями конкурса и объявляется накануне его проведения, после завершения мастер-классов. 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Формат конкурсного испытания: дискуссия в группе из 5 конкурсантов на заданную ведущим тему (проблему) с индивидуальными выступлениями по рассматриваемым вопросам и общим обсуждением. Регламент – до 45 минут. 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 (таблица 7). Соответствие конкретному показателю оценивается в диапазоне от 0 до 2 баллов.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7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rPr>
          <w:trHeight w:val="29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2F296A" w:rsidRPr="002F296A" w:rsidTr="00B276B0">
        <w:trPr>
          <w:trHeight w:val="298"/>
        </w:trPr>
        <w:tc>
          <w:tcPr>
            <w:tcW w:w="2694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rPr>
          <w:trHeight w:val="298"/>
          <w:tblHeader/>
        </w:trPr>
        <w:tc>
          <w:tcPr>
            <w:tcW w:w="269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2F296A" w:rsidRPr="002F296A" w:rsidTr="00B276B0">
        <w:trPr>
          <w:trHeight w:val="161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проблемы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глубина понимания проблемы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9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связь высказываний с обсуждаемой темой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реалистичность предложений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50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6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Убедительность и аргументация позиции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понятность и конкретность занятой позиции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4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аргументированность и доказательность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09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4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90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Взаимодействие и коммуникационная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3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2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культура ведение дискуссии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подход и оригинальность суждений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новизна и оригинальность суждений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5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умение видеть новые стороны в </w:t>
            </w:r>
            <w:r w:rsidRPr="002F296A">
              <w:rPr>
                <w:rFonts w:ascii="PT Astra Serif" w:hAnsi="PT Astra Serif"/>
              </w:rPr>
              <w:lastRenderedPageBreak/>
              <w:t>обсуждаемой проблеме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73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38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яркий стиль и удачная манера общения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84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Информационная и языковая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педагогический кругозор и общая эрудиция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46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5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5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1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513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50</w:t>
            </w:r>
          </w:p>
        </w:tc>
      </w:tr>
    </w:tbl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pStyle w:val="ae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3.2.4.3.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«Образовательный проект».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Цель - демонстрация лауреатами конкурса культуры проектирования в образовании, видения существующих проблем и путей (способов) их решения, умения продуктивно работать в команде выстраивать конструктивное взаимодействие.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Формат конкурсного испытания: группа из 5 конкурсантов в течение 15 минут проводит обсуждение и выбирает тему образовательного проекта, распределяют зоны ответственности каждого члена команды. Группа получает не менее 3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 (таблица 8). Соответствие конкретному показателю оценивается в диапазоне от 0 до 2 баллов.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8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2F296A" w:rsidRPr="002F296A" w:rsidTr="00B276B0">
        <w:tc>
          <w:tcPr>
            <w:tcW w:w="2694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rPr>
          <w:tblHeader/>
        </w:trPr>
        <w:tc>
          <w:tcPr>
            <w:tcW w:w="269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Исследовательская деятельность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Коммуникационная и языковая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 xml:space="preserve">выстраивание конструктивного взаимодействия в командной работе (умение </w:t>
            </w:r>
            <w:r w:rsidRPr="002F296A">
              <w:rPr>
                <w:rFonts w:ascii="PT Astra Serif" w:hAnsi="PT Astra Serif"/>
              </w:rPr>
              <w:lastRenderedPageBreak/>
              <w:t>слушать и слышать)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lastRenderedPageBreak/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вовлечённость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84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Актуальность и реалистичность решений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Результативность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Творчество и оригинальность в представлении проекта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нестандартность и оригинальность идей и предложений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адекватность оценки и самооценки деятельности и результатов проекта, способность к внесению коррективов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2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  <w:spacing w:val="-6"/>
              </w:rPr>
            </w:pPr>
            <w:r w:rsidRPr="002F296A">
              <w:rPr>
                <w:rFonts w:ascii="PT Astra Serif" w:hAnsi="PT Astra Serif"/>
                <w:spacing w:val="-6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513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2F296A">
              <w:rPr>
                <w:rFonts w:ascii="PT Astra Serif" w:hAnsi="PT Astra Serif"/>
                <w:spacing w:val="-8"/>
              </w:rPr>
              <w:t>50</w:t>
            </w:r>
          </w:p>
        </w:tc>
      </w:tr>
    </w:tbl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3.2.5. Третий (очный) этап («Учитель-лидер»).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Третий (очный) этап («Учитель-лидер») включает конкурсное испытание «Круглый стол образовательных политиков». В конкурсном испытании участвуют трое призеров.</w:t>
      </w:r>
    </w:p>
    <w:p w:rsidR="002F296A" w:rsidRPr="002F296A" w:rsidRDefault="002F296A" w:rsidP="00D50BD4">
      <w:pPr>
        <w:pStyle w:val="ae"/>
        <w:tabs>
          <w:tab w:val="clear" w:pos="7785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3.2.5.1. Конкурсное испытание </w:t>
      </w:r>
      <w:r w:rsidRPr="002F296A">
        <w:rPr>
          <w:rFonts w:ascii="PT Astra Serif" w:hAnsi="PT Astra Serif"/>
          <w:i/>
          <w:sz w:val="28"/>
          <w:szCs w:val="28"/>
        </w:rPr>
        <w:t>«Круглый стол образовательных политиков».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 xml:space="preserve">Цель - раскрытие потенциала лидерских качеств победителей конкурса, демонстрация понимания стратегических направлений развития образования </w:t>
      </w:r>
      <w:r w:rsidRPr="002F296A">
        <w:rPr>
          <w:rFonts w:ascii="PT Astra Serif" w:hAnsi="PT Astra Serif"/>
          <w:sz w:val="28"/>
          <w:szCs w:val="28"/>
        </w:rPr>
        <w:lastRenderedPageBreak/>
        <w:t>и представление педагогической общественности собственного видения конструктивных решений существующих проблем.</w:t>
      </w:r>
    </w:p>
    <w:p w:rsidR="002F296A" w:rsidRPr="002F296A" w:rsidRDefault="002F296A" w:rsidP="00D50BD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Формат конкурсного испытания: круглый стол (регламент – до 60 минут), который проводится с участием средств массовой информации и представителей общественности. Тема круглого стола определяется оргкомитетом.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296A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5 критериям, каждый из которых включает 5 показателей (таблица 9). Соответствие конкретному показателю оценивается в 0 или 1 балл.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2F296A">
        <w:rPr>
          <w:rFonts w:ascii="PT Astra Serif" w:hAnsi="PT Astra Serif"/>
        </w:rPr>
        <w:t>Таблица № 9</w:t>
      </w: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Балл</w:t>
            </w:r>
          </w:p>
        </w:tc>
      </w:tr>
      <w:tr w:rsidR="002F296A" w:rsidRPr="002F296A" w:rsidTr="00B276B0">
        <w:tc>
          <w:tcPr>
            <w:tcW w:w="2694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нет</w:t>
            </w:r>
          </w:p>
        </w:tc>
      </w:tr>
    </w:tbl>
    <w:p w:rsidR="002F296A" w:rsidRPr="002F296A" w:rsidRDefault="002F296A" w:rsidP="00D50BD4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2F296A" w:rsidRPr="002F296A" w:rsidTr="00B276B0">
        <w:trPr>
          <w:tblHeader/>
        </w:trPr>
        <w:tc>
          <w:tcPr>
            <w:tcW w:w="269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4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17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Масштабность и нестандартность суждений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4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382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Коммуникационная и языковая культура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8"/>
        </w:trPr>
        <w:tc>
          <w:tcPr>
            <w:tcW w:w="2694" w:type="dxa"/>
            <w:vMerge w:val="restart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206"/>
        </w:trPr>
        <w:tc>
          <w:tcPr>
            <w:tcW w:w="2694" w:type="dxa"/>
            <w:vMerge/>
            <w:hideMark/>
          </w:tcPr>
          <w:p w:rsidR="002F296A" w:rsidRPr="002F296A" w:rsidRDefault="002F296A" w:rsidP="00D50BD4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hideMark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2F296A" w:rsidRPr="002F296A" w:rsidRDefault="002F296A" w:rsidP="00D50BD4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0</w:t>
            </w:r>
          </w:p>
        </w:tc>
      </w:tr>
      <w:tr w:rsidR="002F296A" w:rsidRPr="002F296A" w:rsidTr="00B276B0">
        <w:trPr>
          <w:trHeight w:val="81"/>
        </w:trPr>
        <w:tc>
          <w:tcPr>
            <w:tcW w:w="7513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2F296A" w:rsidRPr="002F296A" w:rsidRDefault="002F296A" w:rsidP="00D50BD4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2F296A">
              <w:rPr>
                <w:rFonts w:ascii="PT Astra Serif" w:hAnsi="PT Astra Serif"/>
              </w:rPr>
              <w:t>25</w:t>
            </w:r>
          </w:p>
        </w:tc>
      </w:tr>
    </w:tbl>
    <w:p w:rsidR="002F296A" w:rsidRPr="002F296A" w:rsidRDefault="002F296A" w:rsidP="00D50BD4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F296A" w:rsidRPr="002F296A" w:rsidRDefault="002F296A" w:rsidP="00D50BD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F5DFA" w:rsidRPr="002F296A" w:rsidRDefault="00CF5DFA" w:rsidP="00D50BD4">
      <w:pPr>
        <w:spacing w:after="0" w:line="240" w:lineRule="auto"/>
        <w:ind w:firstLine="709"/>
        <w:contextualSpacing/>
        <w:rPr>
          <w:rFonts w:ascii="PT Astra Serif" w:hAnsi="PT Astra Serif"/>
        </w:rPr>
      </w:pPr>
    </w:p>
    <w:sectPr w:rsidR="00CF5DFA" w:rsidRPr="002F296A" w:rsidSect="00B2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FB" w:rsidRDefault="00D738FB" w:rsidP="00B260D6">
      <w:pPr>
        <w:spacing w:after="0" w:line="240" w:lineRule="auto"/>
      </w:pPr>
      <w:r>
        <w:separator/>
      </w:r>
    </w:p>
  </w:endnote>
  <w:endnote w:type="continuationSeparator" w:id="1">
    <w:p w:rsidR="00D738FB" w:rsidRDefault="00D738FB" w:rsidP="00B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D738FB">
    <w:pPr>
      <w:pStyle w:val="a9"/>
      <w:jc w:val="center"/>
    </w:pPr>
  </w:p>
  <w:p w:rsidR="00401E78" w:rsidRDefault="00D738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FB" w:rsidRDefault="00D738FB" w:rsidP="00B260D6">
      <w:pPr>
        <w:spacing w:after="0" w:line="240" w:lineRule="auto"/>
      </w:pPr>
      <w:r>
        <w:separator/>
      </w:r>
    </w:p>
  </w:footnote>
  <w:footnote w:type="continuationSeparator" w:id="1">
    <w:p w:rsidR="00D738FB" w:rsidRDefault="00D738FB" w:rsidP="00B2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B260D6">
        <w:pPr>
          <w:pStyle w:val="a7"/>
          <w:jc w:val="center"/>
        </w:pPr>
        <w:r>
          <w:fldChar w:fldCharType="begin"/>
        </w:r>
        <w:r w:rsidR="00CF5DFA">
          <w:instrText xml:space="preserve"> PAGE   \* MERGEFORMAT </w:instrText>
        </w:r>
        <w:r>
          <w:fldChar w:fldCharType="separate"/>
        </w:r>
        <w:r w:rsidR="00D50B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6EAF990"/>
    <w:lvl w:ilvl="0" w:tplc="A5A08EE8">
      <w:start w:val="1"/>
      <w:numFmt w:val="bullet"/>
      <w:lvlText w:val="и"/>
      <w:lvlJc w:val="left"/>
    </w:lvl>
    <w:lvl w:ilvl="1" w:tplc="D9309AA6">
      <w:start w:val="1"/>
      <w:numFmt w:val="bullet"/>
      <w:lvlText w:val="•"/>
      <w:lvlJc w:val="left"/>
    </w:lvl>
    <w:lvl w:ilvl="2" w:tplc="5A8630AA">
      <w:numFmt w:val="decimal"/>
      <w:lvlText w:val=""/>
      <w:lvlJc w:val="left"/>
    </w:lvl>
    <w:lvl w:ilvl="3" w:tplc="33BAAC78">
      <w:numFmt w:val="decimal"/>
      <w:lvlText w:val=""/>
      <w:lvlJc w:val="left"/>
    </w:lvl>
    <w:lvl w:ilvl="4" w:tplc="24B497BC">
      <w:numFmt w:val="decimal"/>
      <w:lvlText w:val=""/>
      <w:lvlJc w:val="left"/>
    </w:lvl>
    <w:lvl w:ilvl="5" w:tplc="80FEF150">
      <w:numFmt w:val="decimal"/>
      <w:lvlText w:val=""/>
      <w:lvlJc w:val="left"/>
    </w:lvl>
    <w:lvl w:ilvl="6" w:tplc="269CA6FA">
      <w:numFmt w:val="decimal"/>
      <w:lvlText w:val=""/>
      <w:lvlJc w:val="left"/>
    </w:lvl>
    <w:lvl w:ilvl="7" w:tplc="3FC03D3A">
      <w:numFmt w:val="decimal"/>
      <w:lvlText w:val=""/>
      <w:lvlJc w:val="left"/>
    </w:lvl>
    <w:lvl w:ilvl="8" w:tplc="2AB85710">
      <w:numFmt w:val="decimal"/>
      <w:lvlText w:val=""/>
      <w:lvlJc w:val="left"/>
    </w:lvl>
  </w:abstractNum>
  <w:abstractNum w:abstractNumId="1">
    <w:nsid w:val="000066BB"/>
    <w:multiLevelType w:val="hybridMultilevel"/>
    <w:tmpl w:val="69EAC836"/>
    <w:lvl w:ilvl="0" w:tplc="33E67DF0">
      <w:start w:val="1"/>
      <w:numFmt w:val="bullet"/>
      <w:lvlText w:val="•"/>
      <w:lvlJc w:val="left"/>
    </w:lvl>
    <w:lvl w:ilvl="1" w:tplc="DAC2EC9C">
      <w:numFmt w:val="decimal"/>
      <w:lvlText w:val=""/>
      <w:lvlJc w:val="left"/>
    </w:lvl>
    <w:lvl w:ilvl="2" w:tplc="B67AD562">
      <w:numFmt w:val="decimal"/>
      <w:lvlText w:val=""/>
      <w:lvlJc w:val="left"/>
    </w:lvl>
    <w:lvl w:ilvl="3" w:tplc="C78AA0FA">
      <w:numFmt w:val="decimal"/>
      <w:lvlText w:val=""/>
      <w:lvlJc w:val="left"/>
    </w:lvl>
    <w:lvl w:ilvl="4" w:tplc="2FEA7680">
      <w:numFmt w:val="decimal"/>
      <w:lvlText w:val=""/>
      <w:lvlJc w:val="left"/>
    </w:lvl>
    <w:lvl w:ilvl="5" w:tplc="A374026C">
      <w:numFmt w:val="decimal"/>
      <w:lvlText w:val=""/>
      <w:lvlJc w:val="left"/>
    </w:lvl>
    <w:lvl w:ilvl="6" w:tplc="3FC0362E">
      <w:numFmt w:val="decimal"/>
      <w:lvlText w:val=""/>
      <w:lvlJc w:val="left"/>
    </w:lvl>
    <w:lvl w:ilvl="7" w:tplc="D51ABD6C">
      <w:numFmt w:val="decimal"/>
      <w:lvlText w:val=""/>
      <w:lvlJc w:val="left"/>
    </w:lvl>
    <w:lvl w:ilvl="8" w:tplc="6F241AE2">
      <w:numFmt w:val="decimal"/>
      <w:lvlText w:val=""/>
      <w:lvlJc w:val="left"/>
    </w:lvl>
  </w:abstractNum>
  <w:abstractNum w:abstractNumId="2">
    <w:nsid w:val="05D43E90"/>
    <w:multiLevelType w:val="hybridMultilevel"/>
    <w:tmpl w:val="94B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10A"/>
    <w:multiLevelType w:val="hybridMultilevel"/>
    <w:tmpl w:val="BDFE6E7E"/>
    <w:lvl w:ilvl="0" w:tplc="71925C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A11B4"/>
    <w:multiLevelType w:val="hybridMultilevel"/>
    <w:tmpl w:val="C622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D200F"/>
    <w:multiLevelType w:val="hybridMultilevel"/>
    <w:tmpl w:val="4F0CF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5F6675"/>
    <w:multiLevelType w:val="hybridMultilevel"/>
    <w:tmpl w:val="25B2A64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8">
    <w:nsid w:val="15366E04"/>
    <w:multiLevelType w:val="multilevel"/>
    <w:tmpl w:val="531A8840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</w:rPr>
    </w:lvl>
  </w:abstractNum>
  <w:abstractNum w:abstractNumId="9">
    <w:nsid w:val="17071B9F"/>
    <w:multiLevelType w:val="hybridMultilevel"/>
    <w:tmpl w:val="035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031"/>
    <w:multiLevelType w:val="hybridMultilevel"/>
    <w:tmpl w:val="FCE8E8A8"/>
    <w:lvl w:ilvl="0" w:tplc="C3447C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DE5"/>
    <w:multiLevelType w:val="hybridMultilevel"/>
    <w:tmpl w:val="A8F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48640E"/>
    <w:multiLevelType w:val="hybridMultilevel"/>
    <w:tmpl w:val="778A57E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5134B2"/>
    <w:multiLevelType w:val="hybridMultilevel"/>
    <w:tmpl w:val="9DB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6BDD"/>
    <w:multiLevelType w:val="hybridMultilevel"/>
    <w:tmpl w:val="BC2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D3250"/>
    <w:multiLevelType w:val="multilevel"/>
    <w:tmpl w:val="ADBEF0C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25" w:hanging="885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i/>
      </w:rPr>
    </w:lvl>
  </w:abstractNum>
  <w:abstractNum w:abstractNumId="18">
    <w:nsid w:val="36E7780E"/>
    <w:multiLevelType w:val="hybridMultilevel"/>
    <w:tmpl w:val="9AFE871C"/>
    <w:lvl w:ilvl="0" w:tplc="4B78C3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D1EED"/>
    <w:multiLevelType w:val="hybridMultilevel"/>
    <w:tmpl w:val="76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A17"/>
    <w:multiLevelType w:val="multilevel"/>
    <w:tmpl w:val="CDD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43E4FD3"/>
    <w:multiLevelType w:val="hybridMultilevel"/>
    <w:tmpl w:val="622E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797A"/>
    <w:multiLevelType w:val="hybridMultilevel"/>
    <w:tmpl w:val="3E686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62C88"/>
    <w:multiLevelType w:val="multilevel"/>
    <w:tmpl w:val="491C2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D24821"/>
    <w:multiLevelType w:val="hybridMultilevel"/>
    <w:tmpl w:val="25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58A1"/>
    <w:multiLevelType w:val="hybridMultilevel"/>
    <w:tmpl w:val="0640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94390C"/>
    <w:multiLevelType w:val="hybridMultilevel"/>
    <w:tmpl w:val="846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55C07D58"/>
    <w:multiLevelType w:val="hybridMultilevel"/>
    <w:tmpl w:val="CB2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32B"/>
    <w:multiLevelType w:val="hybridMultilevel"/>
    <w:tmpl w:val="110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0A3813"/>
    <w:multiLevelType w:val="hybridMultilevel"/>
    <w:tmpl w:val="D728A27E"/>
    <w:lvl w:ilvl="0" w:tplc="33E67DF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7D52"/>
    <w:multiLevelType w:val="hybridMultilevel"/>
    <w:tmpl w:val="316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407D76"/>
    <w:multiLevelType w:val="hybridMultilevel"/>
    <w:tmpl w:val="B44EA7C6"/>
    <w:lvl w:ilvl="0" w:tplc="CD745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B5847"/>
    <w:multiLevelType w:val="hybridMultilevel"/>
    <w:tmpl w:val="22AA2440"/>
    <w:lvl w:ilvl="0" w:tplc="242896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142A17"/>
    <w:multiLevelType w:val="multilevel"/>
    <w:tmpl w:val="E314F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5"/>
  </w:num>
  <w:num w:numId="5">
    <w:abstractNumId w:val="25"/>
  </w:num>
  <w:num w:numId="6">
    <w:abstractNumId w:val="27"/>
  </w:num>
  <w:num w:numId="7">
    <w:abstractNumId w:val="14"/>
  </w:num>
  <w:num w:numId="8">
    <w:abstractNumId w:val="5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37"/>
  </w:num>
  <w:num w:numId="31">
    <w:abstractNumId w:val="31"/>
  </w:num>
  <w:num w:numId="32">
    <w:abstractNumId w:val="3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15"/>
  </w:num>
  <w:num w:numId="43">
    <w:abstractNumId w:val="2"/>
  </w:num>
  <w:num w:numId="44">
    <w:abstractNumId w:val="11"/>
  </w:num>
  <w:num w:numId="45">
    <w:abstractNumId w:val="28"/>
  </w:num>
  <w:num w:numId="46">
    <w:abstractNumId w:val="24"/>
  </w:num>
  <w:num w:numId="47">
    <w:abstractNumId w:val="19"/>
  </w:num>
  <w:num w:numId="48">
    <w:abstractNumId w:val="36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96A"/>
    <w:rsid w:val="002F296A"/>
    <w:rsid w:val="00B260D6"/>
    <w:rsid w:val="00CF5DFA"/>
    <w:rsid w:val="00D50BD4"/>
    <w:rsid w:val="00D7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6"/>
  </w:style>
  <w:style w:type="paragraph" w:styleId="1">
    <w:name w:val="heading 1"/>
    <w:basedOn w:val="a"/>
    <w:next w:val="a"/>
    <w:link w:val="10"/>
    <w:uiPriority w:val="9"/>
    <w:qFormat/>
    <w:rsid w:val="002F29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96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6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2F29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F296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6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9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96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2F296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F29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2F2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F29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2F2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2F29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F296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F296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F2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F2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F296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2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96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29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96A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uiPriority w:val="59"/>
    <w:rsid w:val="002F2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F296A"/>
    <w:pPr>
      <w:tabs>
        <w:tab w:val="left" w:pos="7785"/>
      </w:tabs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2F29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2F29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F296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F2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296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F296A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296A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F29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F2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Без интервала2"/>
    <w:uiPriority w:val="99"/>
    <w:rsid w:val="002F296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d"/>
    <w:uiPriority w:val="99"/>
    <w:rsid w:val="002F29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F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2F296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F296A"/>
    <w:rPr>
      <w:color w:val="800080"/>
      <w:u w:val="single"/>
    </w:rPr>
  </w:style>
  <w:style w:type="character" w:styleId="af6">
    <w:name w:val="Emphasis"/>
    <w:qFormat/>
    <w:rsid w:val="002F296A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2F296A"/>
    <w:pPr>
      <w:spacing w:after="100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2F296A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2F296A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2F296A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2F296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2F296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semiHidden/>
    <w:unhideWhenUsed/>
    <w:rsid w:val="002F296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2F296A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semiHidden/>
    <w:unhideWhenUsed/>
    <w:rsid w:val="002F296A"/>
    <w:pPr>
      <w:spacing w:after="100"/>
      <w:ind w:left="1760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2F29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F296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2F29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F296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2F29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c">
    <w:name w:val="Текст Знак"/>
    <w:basedOn w:val="a0"/>
    <w:link w:val="afb"/>
    <w:uiPriority w:val="99"/>
    <w:semiHidden/>
    <w:rsid w:val="002F296A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3">
    <w:name w:val="Без интервала Знак"/>
    <w:link w:val="af2"/>
    <w:uiPriority w:val="1"/>
    <w:locked/>
    <w:rsid w:val="002F296A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2F296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2F296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2F296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2F296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МОН"/>
    <w:basedOn w:val="a"/>
    <w:uiPriority w:val="99"/>
    <w:rsid w:val="002F29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semiHidden/>
    <w:unhideWhenUsed/>
    <w:rsid w:val="002F296A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2F296A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2F296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F296A"/>
  </w:style>
  <w:style w:type="character" w:customStyle="1" w:styleId="header-user-name">
    <w:name w:val="header-user-name"/>
    <w:basedOn w:val="a0"/>
    <w:rsid w:val="002F296A"/>
  </w:style>
  <w:style w:type="character" w:customStyle="1" w:styleId="st">
    <w:name w:val="st"/>
    <w:rsid w:val="002F296A"/>
  </w:style>
  <w:style w:type="character" w:customStyle="1" w:styleId="aff3">
    <w:name w:val="номер страницы"/>
    <w:uiPriority w:val="99"/>
    <w:rsid w:val="002F296A"/>
  </w:style>
  <w:style w:type="numbering" w:customStyle="1" w:styleId="List7">
    <w:name w:val="List 7"/>
    <w:basedOn w:val="a2"/>
    <w:rsid w:val="002F296A"/>
    <w:pPr>
      <w:numPr>
        <w:numId w:val="6"/>
      </w:numPr>
    </w:pPr>
  </w:style>
  <w:style w:type="numbering" w:customStyle="1" w:styleId="List6">
    <w:name w:val="List 6"/>
    <w:rsid w:val="002F296A"/>
    <w:pPr>
      <w:numPr>
        <w:numId w:val="10"/>
      </w:numPr>
    </w:pPr>
  </w:style>
  <w:style w:type="paragraph" w:customStyle="1" w:styleId="14">
    <w:name w:val="Без интервала1"/>
    <w:qFormat/>
    <w:rsid w:val="002F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qFormat/>
    <w:rsid w:val="002F296A"/>
    <w:pPr>
      <w:ind w:left="720"/>
      <w:contextualSpacing/>
    </w:pPr>
    <w:rPr>
      <w:rFonts w:ascii="Century" w:eastAsia="Times New Roman" w:hAnsi="Century" w:cs="Times New Roman"/>
    </w:rPr>
  </w:style>
  <w:style w:type="paragraph" w:customStyle="1" w:styleId="msonormalcxspmiddle">
    <w:name w:val="msonormalcxspmiddle"/>
    <w:basedOn w:val="a"/>
    <w:rsid w:val="002F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hyperlink" Target="consultantplus://offline/ref=A4FE0D8EB77E909259EC9B11E24F0BFDF0894F475BBD4A00EAC36039B88DE08F0AE9B8D1D494653E2E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7146</Words>
  <Characters>40733</Characters>
  <Application>Microsoft Office Word</Application>
  <DocSecurity>0</DocSecurity>
  <Lines>339</Lines>
  <Paragraphs>95</Paragraphs>
  <ScaleCrop>false</ScaleCrop>
  <Company/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2019-02-01T03:26:00Z</dcterms:created>
  <dcterms:modified xsi:type="dcterms:W3CDTF">2019-02-01T03:31:00Z</dcterms:modified>
</cp:coreProperties>
</file>