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" w:right="8" w:firstLine="556"/>
        <w:jc w:val="center"/>
        <w:spacing w:after="0" w:line="240" w:lineRule="auto"/>
        <w:shd w:val="clear" w:color="auto" w:fill="ffffff"/>
        <w:rPr>
          <w:rFonts w:ascii="Liberation Serif" w:hAnsi="Liberation Serif" w:cs="Liberation Serif"/>
          <w:b/>
          <w:bCs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lang w:eastAsia="ru-RU"/>
          <w14:ligatures w14:val="none"/>
        </w:rPr>
      </w:r>
      <w:r>
        <w:rPr>
          <w:rFonts w:ascii="Liberation Serif" w:hAnsi="Liberation Serif" w:cs="Liberation Serif"/>
        </w:rPr>
      </w:r>
    </w:p>
    <w:p>
      <w:pPr>
        <w:ind w:left="90" w:right="8" w:firstLine="556"/>
        <w:jc w:val="center"/>
        <w:spacing w:after="0" w:line="240" w:lineRule="auto"/>
        <w:shd w:val="clear" w:color="auto" w:fill="ffffff"/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lang w:eastAsia="ru-RU"/>
          <w14:ligatures w14:val="none"/>
        </w:rPr>
        <w:t xml:space="preserve">Педсовет по теме 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shd w:val="clear" w:color="auto" w:fill="ffffff"/>
          <w:lang w:eastAsia="ru-RU"/>
          <w14:ligatures w14:val="none"/>
        </w:rPr>
        <w:t xml:space="preserve">«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ФООП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–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единое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образовательное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пространство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в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соответствии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с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едиными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стандартами</w:t>
      </w:r>
      <w:r>
        <w:rPr>
          <w:rFonts w:ascii="Liberation Serif" w:hAnsi="Liberation Serif" w:eastAsia="Times New Roman" w:cs="Liberation Serif"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b/>
          <w:bCs/>
          <w:color w:val="333333"/>
          <w:sz w:val="28"/>
          <w:szCs w:val="28"/>
          <w:shd w:val="clear" w:color="auto" w:fill="ffffff"/>
          <w:lang w:eastAsia="ru-RU"/>
          <w14:ligatures w14:val="none"/>
        </w:rPr>
        <w:t xml:space="preserve">качества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shd w:val="clear" w:color="auto" w:fill="ffffff"/>
          <w:lang w:eastAsia="ru-RU"/>
          <w14:ligatures w14:val="none"/>
        </w:rPr>
        <w:t xml:space="preserve">»</w:t>
      </w:r>
      <w:r>
        <w:rPr>
          <w:rFonts w:ascii="Liberation Serif" w:hAnsi="Liberation Serif" w:cs="Liberation Serif"/>
        </w:rPr>
      </w:r>
    </w:p>
    <w:p>
      <w:pPr>
        <w:ind w:left="90" w:right="8" w:firstLine="556"/>
        <w:jc w:val="center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8"/>
          <w:szCs w:val="28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  <w:shd w:val="clear" w:color="auto" w:fill="ffffff"/>
          <w:lang w:eastAsia="ru-RU"/>
          <w14:ligatures w14:val="none"/>
        </w:rPr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  <w:shd w:val="clear" w:color="auto" w:fill="ffffff"/>
          <w:lang w:eastAsia="ru-RU"/>
          <w14:ligatures w14:val="none"/>
        </w:rPr>
      </w:r>
    </w:p>
    <w:p>
      <w:pPr>
        <w:ind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 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С 1 сентября 2022 года во всех школах РФ введены обновлённые ФГОС начального общего и основного общего образования.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В нашей школе по обновлённым ФГОС НОО и ФГОС ООО обучаются с 1 сентября 2022 г учащиеся 1классов и 5 классов, а с 1 сентября 2023г. перейдут на ФГОС НОО и ФГОС ООО  учащиеся 2-4 классов и 6-9 и по обновлённым ФГОС СОО 10 класс.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  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 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от места жительства и дохода семьи.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8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        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Для реализации новых ФГОС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На Федеральном портале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 проектов нормативных правовых актов Минпросвещения России опубликовало новые федеральные образовательные программы общего образования взамен ранее принятых в ноябре 2022 года, а Рособрнадзор опубликовал перечень мероприятия по оценке качества образования.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Минпросвещения России планирует издать новые федеральные образовательные программы начального, среднего и основного образования, а ранее изданные в 2022 году приказы Министерства будут признаны утратившими свою силу.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Напомню, что с 1 сентября 2023 года все образовательные организации общего образования будут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обязаны использовать только ФООП согласно Федеральному закону от 24.09.2022 № 371-ФЗ "О внесении изменений в Федеральный закон "Об образовании в Российской Федерации" и статью 1 п.33 Федерального закона "Об обязательных требованиях в Российской Федерации".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Рособрнадзор в свою очередь опубликов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shd w:val="clear" w:color="auto" w:fill="ffffff"/>
          <w:lang w:eastAsia="ru-RU"/>
          <w14:ligatures w14:val="none"/>
        </w:rPr>
        <w:t xml:space="preserve">ал проект постановления Правительства Российской Федерации, согласно которому будет утверждён Перечень мероприятий по оценке качества образования и правила их проведения, которые будут обязательны для проведения в каждой образовательной организации России.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-44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Рассмотрим, что такое Федеральные основные образовательные Программы и что изменится в работе школ с 1 сентября 2023года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       Федеральные основные образовательные Программы разработаны для каждого уровня образования: начального, основного, среднего.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Целью  введения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 ФООП   является: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-создание единого образовательного пространства во всей стране;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-формирование единого содержания образования;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-устранение барьеров для учеников при переходе из школы в школу.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ФООП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- это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 учебно-методическая документация для школ: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федеральные учебные планы;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федеральный  план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 внеурочной деятельности;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федеральный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календарный  учебный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 график;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федеральный календарный пан воспитательной работы;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федеральная рабочая программа воспитания;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федеральные рабочие программы учебных предметов.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Определены обязательные федеральные рабочие программы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НОО- русский язык, литературное чтение, окружающий мир.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ООО и СОО –русский язык, литература, история, обществознание, география, ОБЖ.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       ФООП всех уровней образования содержат несколько вариантов Федеральных учебных планов: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-НОО – пять вариантов;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-ООО – 6 вариантов;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СОО – 19 вариантов по профилям обучения.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          Федеральная рабочая программа воспитания содержит единые для всех школ цели, задачи и направления воспитания. Федеральный календарный план воспитательной работы содержит перечень основных государственных и народных праздников, памятных дат.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Каким образом школы смогут применять ФООП: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Непосредственно применять ФООП или отдельные компоненты ФООП без составления собственных программ;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 Разрабатывать ООП, но их содержание и планируемые результаты должны быть не ниже, чем в ФООП;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right="624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-Перераспределять часы в федеральных учебных планах на изучение учебных предметов, по которым не проводится ГИА</w:t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9496" w:type="dxa"/>
        <w:tblInd w:w="-284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43"/>
        <w:gridCol w:w="2835"/>
        <w:gridCol w:w="3118"/>
      </w:tblGrid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НОО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ООО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СОО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Принципы ФООП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Учета ФГОС НОО, ООО, СОО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Учета языка обучения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Учета ведущей деятельности учащегося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Индивидуализации обучения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333333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Социально-педагогическая деятельность 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Учета индивидуальных возрастных, психологических особенностей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Обеспечения фундаментального характера образования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Интеграции обучения и воспитания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1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Здоровьесбережения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Внутренняя оценка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-Стартовая диагностика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-Текущая и тематическая оценка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-Портфолио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Психолого- педагогическое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наблюдение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-Внутренний мониторинг учащегося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Стартовая диагностика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Текущая и тематическая оценка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Психолого- педагогическое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наблюдение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Внутренний мониторинг учащегося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Форма оценки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222222"/>
                <w:sz w:val="28"/>
                <w:szCs w:val="28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Читательская грамотность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Цифровая грамотность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УУД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 xml:space="preserve">Каждый из видов диагностики проводится не менее чем 1 раз в два года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Стартовая диагностика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 начале 1 класса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 начале 5 класса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 начале 10 класса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Педагогические кадры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Прошли курсы повышения квалификации, посвященные ФГОС НОО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Прошли курсы повышения квалификации, посвященные ФГОС ООО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Владеют представлениями о возрастных особенностях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4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Прошли курсы повышения квалифика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ции, посвященные ФГОС СОО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4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Участвовали в разработке программы по формированию УУД, или участвовали в семинаре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4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Умеют строить работу с особенностями формирования конкретных УУД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4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Владеют методиками формирующего оценивания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numPr>
                <w:ilvl w:val="0"/>
                <w:numId w:val="4"/>
              </w:numPr>
              <w:ind w:firstLine="90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Умеют применять инструментарий для оценки качества УУД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Направления воспитания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2110"/>
        </w:trPr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-Гражданское воспитание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-Патриотическое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-Духовно-нравственное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-Эстетическое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-Физическое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-Трудовое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-Экологическое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-Ценности научного познания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Модули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-урочная деятельность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-внеурочная деятельность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-классное руководство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-основные школьные дела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-внешкольные мероприятия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-организация предметно-пространственной среды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-взаимодействие с родителями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-самоуправление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-профилактика и безопасность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-социальное партнерство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-профориентация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Вариативные модули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-дополнительное образование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-детские общественные объединения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-школьные медиа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-школьный музей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-добровольческая деятельность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-школьные спортивные клубы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-школьные театры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-наставничество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Количество учебных часов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За 4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года  не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менее 2954 и не более 3190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За 5 лет не менее 5058ч и не более5549 часов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За 2 года не менее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2170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но не более 2516 часов (не более 37 часов)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план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222222"/>
                <w:sz w:val="28"/>
                <w:szCs w:val="28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 Не менее 13 учебных предметов: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-русский язык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-литература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ин.язык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-математика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-информатика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-история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-обществознание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-география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-физика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-химия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-биология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-физкультура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-ОБЖ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 не менее 2 учебных предмета на углубленном уровне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 Должно быть предусмотрено выполнение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индивидуального проекта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Родной язык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и  родная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 литература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Осуществляется по заявлению родителей и при наличии возможностей организации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Второй иностранный язык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222222"/>
                <w:sz w:val="28"/>
                <w:szCs w:val="28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Осуществляется по заявлению родителей и при наличии возможностей организации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Домашнее задание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1час для 1 класса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1,5ч для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2-3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кл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 часа для 4 классов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5кл – 2 ч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6-9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кл не более2-3 ч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Суммарный объем не более 3,5ч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профиль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222222"/>
                <w:sz w:val="28"/>
                <w:szCs w:val="28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19 вариантов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год начинается 1 сентября, если выходной, то учебный год начинается в первый, следующим за ним рабочий день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34 недели (1 класс 33 недели)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до 20 мая если выходной, то заканчивается в предыдущий рабочий день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9, 11класс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согласно расписания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ГИА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Продолжительность четвертей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222222"/>
                <w:sz w:val="28"/>
                <w:szCs w:val="28"/>
                <w:lang w:eastAsia="ru-RU"/>
                <w14:ligatures w14:val="none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1-8недель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2-8недель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3-10недель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4-8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недель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Продолжительность каникул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Для 1 классов дополнительные недельные каникулы в 3 четверти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Не менее 30 календарных дней в течение учебного года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Осенние-9 календарных 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Зимние-9дней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Весенние-9дней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Летом не менее8 недель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Не менее 30 календарных дней в течение учебного года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Осенние-9 календарных 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Зимние-9дней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Весенние-9дней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Летом не менее8 недель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Осенние-9 календарных 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Зимние-9дней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Весенние-9дней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Летние не менее8 недель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перемены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Не менее 10минут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После 2 или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3-20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-30минут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Между урочной и ВД-не мнее20-30минут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Факультативные занятия -не менее 20 минут перерыв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Занятия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1классы - 4 урока и один раз в неделю 5 уроков за счет физкультуры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2-4 не более 5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часов  один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 раз в неделю 6 уроков за счет физкультуры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5-6классы-не более 6уроков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7-9классы- не более 7 уроков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Не ранее 8 часов утра и не позднее 19 часов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ВД неотъемлемая и обязательная часть (может быть в каникулярное время, но не более ½ количества часов)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За 4 года до 1320 академических часов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Направления: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-спортивно-оздоровительное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-проектно-исследовательская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-коммуникативная деятельность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-художественно-эстетическая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-информационная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-интеллектуальные марафоны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-учение с увлечением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За 5 лет не более 1750 часов, в год не более 350 часов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-разговоры о важном-1час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-по учебным предметам еженедельно2-ч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-по развитию личности от1 до2часов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-ученические сообщества-от2-4часов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-осуществление педагогической поддержки от2 до3 часов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-Не более 700 часов за 2 года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8"/>
                <w:szCs w:val="28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-разговоры о важном-1час</w:t>
            </w:r>
            <w:r>
              <w:rPr>
                <w:rFonts w:ascii="Liberation Serif" w:hAnsi="Liberation Serif" w:cs="Liberation Serif"/>
              </w:rPr>
            </w:r>
          </w:p>
        </w:tc>
      </w:tr>
    </w:tbl>
    <w:p>
      <w:pPr>
        <w:ind w:left="84" w:hanging="10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lang w:eastAsia="ru-RU"/>
          <w14:ligatures w14:val="none"/>
        </w:rPr>
        <w:t xml:space="preserve">Т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ребования к рабочим программам</w:t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9496" w:type="dxa"/>
        <w:tblInd w:w="-284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69"/>
        <w:gridCol w:w="5528"/>
      </w:tblGrid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ind w:righ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Критерий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textDirection w:val="lrTb"/>
            <w:noWrap w:val="false"/>
          </w:tcPr>
          <w:p>
            <w:pPr>
              <w:ind w:right="7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Новый ФГОС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33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Виды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textDirection w:val="lrTb"/>
            <w:noWrap w:val="false"/>
          </w:tcPr>
          <w:p>
            <w:pPr>
              <w:ind w:right="66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Рабочие программы учебных предметов, учебных курсов, в том числе и внеурочной деятельности, учебных модулей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96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Структура         рабочих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textDirection w:val="lrTb"/>
            <w:noWrap w:val="false"/>
          </w:tcPr>
          <w:p>
            <w:pPr>
              <w:ind w:right="7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Одинаковая для всех рабочих программ, в том числе и программ внеурочной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249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ind w:left="2" w:right="7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Тематическое планирование рабочих программ учебных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предметов, курсов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textDirection w:val="lrTb"/>
            <w:noWrap w:val="false"/>
          </w:tcPr>
          <w:p>
            <w:pPr>
              <w:ind w:right="6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С указанием количества академических часов, отводимых на освоение каждой темы,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возможности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96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Тематическое планирование рабочих программ         курсов внеурочной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использования по этой теме ЭОР и ЦОР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2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Учет         рабочей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программы воспитания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Во         всех         разделах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рабочей программы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96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ind w:left="2" w:right="7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Особенности рабочей программы курса внеурочной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148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 программе должны быть указаны формы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проведения занятий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</w:tbl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Предметные области и предметы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Новые ФГОС НОО и ООО регламентируют перечень обязательных предметных областей, учебных предметов и учебных модулей.</w:t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9496" w:type="dxa"/>
        <w:tblInd w:w="-284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10"/>
        <w:gridCol w:w="5386"/>
      </w:tblGrid>
      <w:tr>
        <w:trPr>
          <w:trHeight w:val="484"/>
        </w:trPr>
        <w:tc>
          <w:tcPr>
            <w:gridSpan w:val="2"/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1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план НОО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Предметные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22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Учебные предметы (учебные модули)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1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Русский язык и литературное чтение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Русский язык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Литературное чтение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13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Родной язык и литературное чтение на родном языке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 w:right="7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Родной язык и (или) государственный язык республики Российской Федерации Литературное чтение на родном языке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Иностранный язык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Иностранный язык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Математика и информатика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Математика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13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Обществознание         и естествознание      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   (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Окружающий мир)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Окружающий мир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812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Основы религиозных культур и светской этики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Основы религиозных культур и светской этики: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numPr>
                <w:ilvl w:val="0"/>
                <w:numId w:val="5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модуль «Основы православной культуры»;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numPr>
                <w:ilvl w:val="0"/>
                <w:numId w:val="5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модуль «Основы иудейской культуры»;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numPr>
                <w:ilvl w:val="0"/>
                <w:numId w:val="5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модуль «Основы буддистской культуры»;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numPr>
                <w:ilvl w:val="0"/>
                <w:numId w:val="5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модуль «Основы исламской культуры»;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numPr>
                <w:ilvl w:val="0"/>
                <w:numId w:val="5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модуль «Основы религиозных культур народов России»;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numPr>
                <w:ilvl w:val="0"/>
                <w:numId w:val="5"/>
              </w:numPr>
              <w:ind w:left="1080"/>
              <w:jc w:val="both"/>
              <w:spacing w:before="30" w:after="3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модуль «Основы светской этики»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Искусство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Изобразительное искусство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Музыка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Технология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Технология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Физическая культура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Физическая культура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vanish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vanish/>
          <w:sz w:val="24"/>
          <w:szCs w:val="24"/>
          <w:lang w:eastAsia="ru-RU"/>
          <w14:ligatures w14:val="none"/>
        </w:rPr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9354" w:type="dxa"/>
        <w:tblInd w:w="-142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8"/>
        <w:gridCol w:w="6236"/>
      </w:tblGrid>
      <w:tr>
        <w:trPr>
          <w:trHeight w:val="629"/>
        </w:trPr>
        <w:tc>
          <w:tcPr>
            <w:gridSpan w:val="2"/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1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Учебный план ООО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1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Предметные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100" w:right="1835" w:firstLine="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Учебные предметы (учебные курсы или учебные модули)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Русский язык и литература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 w:right="2076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Русский язык Литература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13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Родной язык и родная литература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 w:right="1268" w:firstLine="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Родной язык и (или) государственный язык республики Российской Федерации Родная литература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1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Иностранные языки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Иностранный язык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Второй иностранный язык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77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Математика и информатика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Математика: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352" w:right="66" w:hanging="36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•учебные курсы «Алгебра», «Геометрия», «Вероятность и статистика»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Информатика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77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Общественно-научные предметы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История: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-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•        учебные         курсы      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   «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История         России»,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35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«Всеобщая история»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Обществознание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География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13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Естественно-научные предметы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Физика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Химия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Биология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214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Основы духовно-нравственной культуры народов России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 w:right="6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18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Искусство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 w:right="810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Изобразительное искусство Музыка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78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Технология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8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Технология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606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right="36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Физическая культура и основы безопасности жизнедеятельности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0" w:type="dxa"/>
              <w:top w:w="144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Физическая культура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Основы безопасности жизнедеятельности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</w:tbl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На уровне ООО школы получили право учитывать свои ресурсы и пожелания родителей, чтобы вводить вто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рой иностранный язык, родной язык и литературу/литературное чтение на родном языке. Это позитивное изменение для школ, которые не могут обеспечить качественное изучение этих предметов. Также, чтобы ввести эти предметы, нужны письменные заявления родителей.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8" w:right="2" w:firstLine="80"/>
        <w:jc w:val="both"/>
        <w:spacing w:before="120" w:after="120" w:line="240" w:lineRule="auto"/>
        <w:shd w:val="clear" w:color="auto" w:fill="ffffff"/>
        <w:rPr>
          <w:rFonts w:ascii="Liberation Serif" w:hAnsi="Liberation Serif" w:cs="Liberation Serif"/>
          <w:b/>
          <w:bCs/>
          <w:color w:val="252525"/>
          <w:sz w:val="24"/>
          <w:szCs w:val="24"/>
          <w14:ligatures w14:val="none"/>
        </w:rPr>
        <w:pBdr>
          <w:bottom w:val="single" w:color="D6DDB9" w:sz="6" w:space="0"/>
        </w:pBdr>
        <w:outlineLvl w:val="0"/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Объем урочной и внеурочной деятельности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Изменили объем часов аудиторной нагрузки: уменьшили верхнюю границу. Подробнее смотрите в таблицах.</w:t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8973" w:type="dxa"/>
        <w:tblInd w:w="98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54"/>
        <w:gridCol w:w="2268"/>
        <w:gridCol w:w="2551"/>
      </w:tblGrid>
      <w:tr>
        <w:trPr>
          <w:trHeight w:val="81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415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Границы аудиторной нагрузки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6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Старый ФГОС НОО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Новый ФГОС НОО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4154" w:type="dxa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Минимум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2904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2954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4154" w:type="dxa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Максимум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3345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3190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0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415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Границы аудиторной нагрузки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6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Старый ФГОС ООО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Новый ФГОС ООО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4154" w:type="dxa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Минимум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5267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5058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4"/>
        </w:trPr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4154" w:type="dxa"/>
            <w:textDirection w:val="lrTb"/>
            <w:noWrap w:val="false"/>
          </w:tcPr>
          <w:p>
            <w:pPr>
              <w:ind w:left="2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Максимум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4"/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6020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222222" w:sz="8" w:space="0"/>
              <w:left w:val="single" w:color="222222" w:sz="8" w:space="0"/>
              <w:bottom w:val="single" w:color="222222" w:sz="8" w:space="0"/>
              <w:right w:val="single" w:color="222222" w:sz="8" w:space="0"/>
            </w:tcBorders>
            <w:tcMar>
              <w:left w:w="78" w:type="dxa"/>
              <w:top w:w="94" w:type="dxa"/>
              <w:right w:w="116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222222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  <w14:ligatures w14:val="none"/>
              </w:rPr>
              <w:t xml:space="preserve">5549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</w:tbl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Уменьшили объем внеурочной деятельности на уровне НОО. Теперь вместо 1350 можно запланировать до 1320 часов за четыре года.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Повышение квалификации педагогов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76" w:firstLine="64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Старые ФГОС четко определяли, что повышать квалификацию педагоги должны не реже чем раз в три года. Новые ФГОС эту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 норму исключили. В Законе об образовании по-прежнему закреплено, что педагог может проходить дополнительное профессиональное образование раз в три года и обязан систематически повышать квалификацию. Но указания, как часто он должен это делать, теперь нет.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720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Исключение второго иностранного языка из обязательных предметов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Symbol" w:cs="Liberation Serif"/>
          <w:color w:val="000000"/>
          <w:sz w:val="24"/>
          <w:szCs w:val="24"/>
          <w:lang w:eastAsia="ru-RU"/>
          <w14:ligatures w14:val="none"/>
        </w:rPr>
        <w:t xml:space="preserve">·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        Теперь второй иностранный язык перестал быть обязательным. Его судьба решается с учетом мнения родителей и возможности школы.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Symbol" w:cs="Liberation Serif"/>
          <w:color w:val="000000"/>
          <w:sz w:val="24"/>
          <w:szCs w:val="24"/>
          <w:lang w:eastAsia="ru-RU"/>
          <w14:ligatures w14:val="none"/>
        </w:rPr>
        <w:t xml:space="preserve">·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        Согласно новым ФГОС 2021 школам разрешено не включать второй язык в программы, если для этого отсутствуют кадровые или иные условия. 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 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А что с шахматами?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Никаких шахмат. Инициатива ввести обязательный предмет «Игра в шахматы» скоро </w:t>
      </w:r>
      <w:hyperlink r:id="rId9" w:tooltip="https://www.google.com/url?q=https://regnum.ru/news/859463.html&amp;sa=D&amp;source=editors&amp;ust=1681326687316477&amp;usg=AOvVaw323twD_oLb1UXx5Eu4ZfOh" w:history="1">
        <w:r>
          <w:rPr>
            <w:rFonts w:ascii="Liberation Serif" w:hAnsi="Liberation Serif" w:eastAsia="Times New Roman" w:cs="Liberation Serif"/>
            <w:color w:val="0000ff"/>
            <w:sz w:val="24"/>
            <w:szCs w:val="24"/>
            <w:u w:val="single"/>
            <w:lang w:eastAsia="ru-RU"/>
            <w14:ligatures w14:val="none"/>
          </w:rPr>
          <w:t xml:space="preserve">отметит</w:t>
        </w:r>
      </w:hyperlink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совершеннолетие, но никак не дойдет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до реализации. Вот и новый ФГОС не содержит ни слова о них. Однако школы вольны вводить предмет по собственной инициативе.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        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Нужно ли включать в учебный план русскую литературу для школьников, у кого родной язык- русский, в соответствиисп.33.1 приказа Минпросвещения РФ от 31.05 2021г. № 287 «Об утверждении ФГОС ООО»?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В соответствии с обновленными ФГОС ООО,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 утвержденным Приказом Минпросвещения РФ от 31.05 2021г. № 287 «Об утверждении ФГОС ООО, предметная область «Родной язык и родная литература» является обязательной для изучения. При этом ОО, реализующая программы НОО и ООО, в которых языком образования явл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яется русский язык, изучение родного языка и родной литературы из числа народов РФ, государственных языков республик РФ осуществляется при наличии возможностей и по заявлению обучающихся и родителей (законных представителей) несовершеннолетних обучающихся.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before="120" w:after="120" w:line="240" w:lineRule="auto"/>
        <w:shd w:val="clear" w:color="auto" w:fill="ffffff"/>
        <w:rPr>
          <w:rFonts w:ascii="Liberation Serif" w:hAnsi="Liberation Serif" w:cs="Liberation Serif"/>
          <w:b/>
          <w:bCs/>
          <w:color w:val="2e75b5"/>
          <w:sz w:val="24"/>
          <w:szCs w:val="24"/>
          <w14:ligatures w14:val="none"/>
        </w:rPr>
        <w:pBdr>
          <w:bottom w:val="single" w:color="D6DDB9" w:sz="6" w:space="0"/>
        </w:pBdr>
        <w:outlineLvl w:val="1"/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lang w:eastAsia="ru-RU"/>
          <w14:ligatures w14:val="none"/>
        </w:rPr>
        <w:t xml:space="preserve">Краткие выводы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1.                 Проект нового ФГОС вступил в силу 1 сентября 2022 года.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2.                 Обновленные стандарты коснулись детей, которые поли в первые и пятые классы в сентябре 2022 года.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3.                 Актуальные ФГОС фокусируются на практических навыках детей: они должны понимать, как связаны предметы и как помогают в реальной жизни. 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90" w:right="8" w:firstLine="556"/>
        <w:jc w:val="both"/>
        <w:spacing w:after="0" w:line="240" w:lineRule="auto"/>
        <w:shd w:val="clear" w:color="auto" w:fill="ffffff"/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4.                 Среди новшеств выделяются: вариативность, функциональная грамотность, единство воспитания и обучения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br/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br/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Были уточнены все размытые и неточные моменты из предшествующих версий, конкретизированы обязательства и права учебного заведения, учащихся и пр.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; Учитывает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 особенности формирования учебных планов и устанавливает единую форму для всех. Препод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авателю остается лишь продумать «текстуру», тематику, глубину погружения, методологию обучения и практические задания с учетом выделенного объема академических часов, особенностей программы («уклон класса», этап обучения и пр.); Подробно расписан формат пр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оведения занятий (по каждой теме, занятию) с детализацией объема теоретической части, практических заданий (задачи, кейсы, тесты и пр.), лабораторных и контрольных работ и пр. Фактически каждое занятие расписывается в учебном плане и плане-конспекте от и д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о, поминутно. Такой подход позволяет тщательно планировать учебное время, уделяя внимание как важным, так и дополнительным моментам, грамотно формировать программу самообучения (список рекомендованной к изучению литературы и пр.); Уточнен список обязательн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ых и дополнительных предметных и межпредметных, общих навыков, которые учащийся должен развить в процессе освоения каждой дисциплины. Особый акцент ФГОС третье6го поколения делает на становлении мышления (критического и общего), аналитического склада ума,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творческ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ого подхода к решению задач, адаптации классических правил к реалиям. Учащиеся не просто учатся читать и писать, но и вникать в материал, текст, осмысливать его, выдвигать гипотезы и обосновывать их, аргументировать свою позицию, грамотно преподносить собр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анный материал, работать с большим объемом информации с учетом соблюдения правил авторской этики, оперировать терминами и механизмами, а также решать различные задачи (то учебных до научных и пр.); Четко обозначены контрольные и аттестационные точки в тече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ние учебного года, а также на финальной стадии – переходные рубежи, итоговые работы и экзамены. Также определен конкретный норматив по владению учебной программой: сколько понятий должен знать учащийся, средний объем сочинения и пр.); Новый ФГОС предполага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ет оптимизацию учебного процесса в пользу учащихся: снижение учебной нагрузки путем грамотного перераспределения времени на изучение предметов, акцент делается не только на обязательных дисциплинах, но и на дополнительном развитии индивидов; В процессе обу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чения акцент делается в тотальном изучении отечественных тенденций, особенностей развития, становления государства, науки и пр.; Ход обучения учитывает не просто стандартные правила и требования. Он также захватывает индивидуальные особенности учащихся: и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способности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 и склонности, специфику психологического и физического, интеллектуального развития. Такой ход позволя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ет регулировать объем и количество заданий в отношении каждого учащегося в рамках общей интеграции (класса, учебной программы), разработать дополнительную программу обучения и пр.; Учебный план включает в себя вариативную часть. Притом каждый родитель впра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ве выбрать наиболее подходящий предмет для своего ребенка (изучать родной язык или определённый, го с учётом возможностей школы и пр.). Вариативная часть позволяет заинтересовать родителей и учеников, расширить кругозор и пр.; Образование ориентировано не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на «чистую» теорию, а на конкретный результат в виде навыков, умений, владения информацией и ее умелым использованием. Притом развитие учащихся носит комплексный характер: интеллектуальный, патриотический, духовный, эстетический, физический, трудовой и пр.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br/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br/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  <w14:ligatures w14:val="none"/>
        </w:rPr>
        <w:t xml:space="preserve">.</w:t>
      </w:r>
      <w:r>
        <w:rPr>
          <w:rFonts w:ascii="Liberation Serif" w:hAnsi="Liberation Serif" w:eastAsia="Times New Roman" w:cs="Liberation Serif"/>
          <w:color w:val="16263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>
        <w:rPr>
          <w:rFonts w:ascii="Liberation Serif" w:hAnsi="Liberation Serif" w:eastAsia="Times New Roman" w:cs="Liberation Serif"/>
          <w:color w:val="162630"/>
          <w:sz w:val="24"/>
          <w:szCs w:val="24"/>
          <w:shd w:val="clear" w:color="auto" w:fill="ffffff"/>
          <w:lang w:eastAsia="ru-RU"/>
          <w14:ligatures w14:val="none"/>
        </w:rPr>
        <w:t xml:space="preserve">Источник: </w:t>
      </w:r>
      <w:hyperlink r:id="rId10" w:tooltip="https://www.google.com/url?q=https://disshelp.ru/blog/izuchaem-novyj-fgos-tretego-pokoleniya/&amp;sa=D&amp;source=editors&amp;ust=1681326687318322&amp;usg=AOvVaw2bUV9XKChYnIxFnoA-iE4b" w:history="1">
        <w:r>
          <w:rPr>
            <w:rFonts w:ascii="Liberation Serif" w:hAnsi="Liberation Serif" w:eastAsia="Times New Roman" w:cs="Liberation Serif"/>
            <w:color w:val="0000ff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 xml:space="preserve">https://disshelp.ru/blog/izuchaem-novyj-fgos-tretego-pokoleniya/</w:t>
        </w:r>
      </w:hyperlink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color w:val="222222"/>
          <w:sz w:val="24"/>
          <w:szCs w:val="24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1"/>
    <w:link w:val="60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1"/>
    <w:link w:val="61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8"/>
    <w:next w:val="6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1"/>
    <w:link w:val="33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1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1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1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1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1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paragraph" w:styleId="609">
    <w:name w:val="Heading 1"/>
    <w:basedOn w:val="608"/>
    <w:link w:val="61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  <w14:ligatures w14:val="none"/>
    </w:rPr>
  </w:style>
  <w:style w:type="paragraph" w:styleId="610">
    <w:name w:val="Heading 2"/>
    <w:basedOn w:val="608"/>
    <w:link w:val="61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  <w14:ligatures w14:val="none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character" w:styleId="614" w:customStyle="1">
    <w:name w:val="Заголовок 1 Знак"/>
    <w:basedOn w:val="611"/>
    <w:link w:val="60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  <w14:ligatures w14:val="none"/>
    </w:rPr>
  </w:style>
  <w:style w:type="character" w:styleId="615" w:customStyle="1">
    <w:name w:val="Заголовок 2 Знак"/>
    <w:basedOn w:val="611"/>
    <w:link w:val="610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  <w14:ligatures w14:val="none"/>
    </w:rPr>
  </w:style>
  <w:style w:type="paragraph" w:styleId="616" w:customStyle="1">
    <w:name w:val="c15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617" w:customStyle="1">
    <w:name w:val="c13"/>
    <w:basedOn w:val="611"/>
  </w:style>
  <w:style w:type="character" w:styleId="618" w:customStyle="1">
    <w:name w:val="c27"/>
    <w:basedOn w:val="611"/>
  </w:style>
  <w:style w:type="character" w:styleId="619" w:customStyle="1">
    <w:name w:val="c19"/>
    <w:basedOn w:val="611"/>
  </w:style>
  <w:style w:type="paragraph" w:styleId="620" w:customStyle="1">
    <w:name w:val="c0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621" w:customStyle="1">
    <w:name w:val="c9"/>
    <w:basedOn w:val="611"/>
  </w:style>
  <w:style w:type="paragraph" w:styleId="622" w:customStyle="1">
    <w:name w:val="c61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paragraph" w:styleId="623" w:customStyle="1">
    <w:name w:val="c30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624" w:customStyle="1">
    <w:name w:val="c1"/>
    <w:basedOn w:val="611"/>
  </w:style>
  <w:style w:type="character" w:styleId="625" w:customStyle="1">
    <w:name w:val="c3"/>
    <w:basedOn w:val="611"/>
  </w:style>
  <w:style w:type="character" w:styleId="626" w:customStyle="1">
    <w:name w:val="c11"/>
    <w:basedOn w:val="611"/>
  </w:style>
  <w:style w:type="character" w:styleId="627" w:customStyle="1">
    <w:name w:val="c23"/>
    <w:basedOn w:val="611"/>
  </w:style>
  <w:style w:type="paragraph" w:styleId="628" w:customStyle="1">
    <w:name w:val="c191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629">
    <w:name w:val="Hyperlink"/>
    <w:basedOn w:val="611"/>
    <w:uiPriority w:val="99"/>
    <w:semiHidden/>
    <w:unhideWhenUsed/>
    <w:rPr>
      <w:color w:val="0000ff"/>
      <w:u w:val="single"/>
    </w:rPr>
  </w:style>
  <w:style w:type="character" w:styleId="630" w:customStyle="1">
    <w:name w:val="c21"/>
    <w:basedOn w:val="6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oogle.com/url?q=https://regnum.ru/news/859463.html&amp;sa=D&amp;source=editors&amp;ust=1681326687316477&amp;usg=AOvVaw323twD_oLb1UXx5Eu4ZfOh" TargetMode="External"/><Relationship Id="rId10" Type="http://schemas.openxmlformats.org/officeDocument/2006/relationships/hyperlink" Target="https://www.google.com/url?q=https://disshelp.ru/blog/izuchaem-novyj-fgos-tretego-pokoleniya/&amp;sa=D&amp;source=editors&amp;ust=1681326687318322&amp;usg=AOvVaw2bUV9XKChYnIxFnoA-iE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revision>6</cp:revision>
  <dcterms:created xsi:type="dcterms:W3CDTF">2023-05-06T19:07:00Z</dcterms:created>
  <dcterms:modified xsi:type="dcterms:W3CDTF">2023-05-10T05:36:01Z</dcterms:modified>
</cp:coreProperties>
</file>