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right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ПРОЕКТ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7"/>
          <w:szCs w:val="27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Концепция</w:t>
      </w:r>
      <w:r>
        <w:rPr>
          <w:rFonts w:ascii="Times New Roman" w:hAnsi="Times New Roman" w:eastAsia="Times New Roman"/>
          <w:color w:val="342E2F"/>
          <w:sz w:val="27"/>
          <w:szCs w:val="27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Всероссийской акции «10 000 шагов к жизни»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25 июня 2023 года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к Дню молодёжи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spacing w:line="276" w:lineRule="auto"/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Девиз Акции – «Двигайся навстречу здоровью!»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center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b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Преамбула:</w:t>
      </w:r>
      <w:r>
        <w:rPr>
          <w:rFonts w:ascii="Times New Roman" w:hAnsi="Times New Roman" w:eastAsia="Times New Roman"/>
          <w:b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Принимая во внимание проект Стратегии молодёжной политики до 2030 года Акция реализуется в рамках мероприятий по «ф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ормировани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ю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условий для занятий физической культурой, спортом, здорового и экологичного образа жизни молодежи, содействие организации ее досуга, отдыха, оздоровления молодежи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»</w:t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Инициатор: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numPr>
          <w:numId w:val="3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Общероссийская общественная организация «Лига здоровья нации».</w:t>
      </w:r>
      <w:r>
        <w:rPr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При поддержке: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numPr>
          <w:numId w:val="2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Министерства спорта Российской Федерации, Министерства здравоохранения Российской Федерации, Правительства Москвы, Всероссийской Ассоциации развития местного самоуправления (ВАРМСУ), Администраций регионов, органов местного самоуправления регионов Российской Федерации, общественных организаций и волонтёрских движений.</w:t>
      </w:r>
      <w:r>
        <w:rPr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left="720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п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ропаганда ценностей 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здорового образа жизни, 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повышение физической активности населения, развитие естественных методов оздоровления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Задачи: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Содействие в реализации Федерального проекта «Спорт норма жизни»; </w:t>
      </w:r>
      <w:r>
        <w:rPr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Содействие в реализации Федерального проекта «Укрепление общественного здоровья»;</w:t>
      </w:r>
      <w:r>
        <w:rPr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Увеличение доли граждан, приверженных здоровому образу жизни; </w:t>
      </w:r>
      <w:r>
        <w:rPr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У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величени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ю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доли граждан систематически занимающихся физической культурой и спортом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</w:t>
      </w:r>
      <w:r>
        <w:rPr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Формирование навыков и знаний, оказывающих положительное влияние на состояние здоровья и работоспособность человека;</w:t>
      </w:r>
      <w:r>
        <w:rPr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Развитие движения «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Волонтеры за ЗОЖ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»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;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numPr>
          <w:numId w:val="4"/>
          <w:ilvl w:val="0"/>
        </w:numPr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Увеличение количества муниципалитетов - участников Акции.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Участники: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numPr>
          <w:numId w:val="1"/>
          <w:ilvl w:val="0"/>
        </w:numPr>
        <w:pBdr>
          <w:top w:val="none"/>
          <w:left w:val="none"/>
          <w:bottom w:val="none"/>
          <w:right w:val="none"/>
          <w:between w:val="none"/>
        </w:pBdr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Муниципалитеты;</w:t>
      </w:r>
      <w:r>
        <w:rPr>
          <w:color w:val="342E2F"/>
          <w:sz w:val="24"/>
          <w:szCs w:val="24"/>
        </w:rPr>
      </w:r>
    </w:p>
    <w:p>
      <w:pPr>
        <w:pStyle w:val="Normal"/>
        <w:numPr>
          <w:numId w:val="1"/>
          <w:ilvl w:val="0"/>
        </w:numPr>
        <w:pBdr>
          <w:top w:val="none"/>
          <w:left w:val="none"/>
          <w:bottom w:val="none"/>
          <w:right w:val="none"/>
          <w:between w:val="none"/>
        </w:pBdr>
        <w:rPr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Граждане всех возрастов, особенно молодежь. </w:t>
      </w:r>
      <w:r>
        <w:rPr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left="720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br w:type="page"/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left="720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Порядок проведения: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jc w:val="both"/>
        <w:rPr>
          <w:rFonts w:ascii="Times New Roman" w:hAnsi="Times New Roman" w:eastAsia="Times New Roman"/>
          <w:b/>
          <w:color w:val="342E2F"/>
          <w:sz w:val="24"/>
          <w:szCs w:val="24"/>
        </w:rPr>
      </w:pPr>
      <w:r>
        <w:rPr>
          <w:rFonts w:ascii="Times New Roman" w:hAnsi="Times New Roman" w:eastAsia="Times New Roman"/>
          <w:b/>
          <w:color w:val="342E2F"/>
          <w:sz w:val="24"/>
          <w:szCs w:val="24"/>
        </w:rPr>
        <w:tab/>
      </w:r>
      <w:r>
        <w:rPr>
          <w:rFonts w:ascii="Times New Roman" w:hAnsi="Times New Roman" w:eastAsia="Times New Roman"/>
          <w:b/>
          <w:color w:val="342E2F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В этом году Акция приурочена к Дню молодёжи. Центральной площадкой 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Акции традиционно является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ВДНХ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, по месту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расположен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ия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Маршрут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а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здоровья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№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1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(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Приложение №1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: сценарий Акции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).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20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Региональные площадки Акции будут организованы региональными и муниципальными администрациями в муниципалитетах на маршрутах здоровья.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Проведение 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мероприятий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Акции осуществляется в соответствии с рекомендациями, направленными Лигой здоровья нации всем организаторам (муниципалитетам, общественным объединениям и т.д.).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Участники Акции проходят регистрацию на официальном сайте Лиги здоровья нации (</w:t>
      </w:r>
      <w:r>
        <w:rPr>
          <w:rFonts w:ascii="Times New Roman" w:hAnsi="Times New Roman" w:eastAsia="Times New Roman"/>
          <w:color w:val="0563C1"/>
          <w:sz w:val="24"/>
          <w:szCs w:val="24"/>
          <w:u w:val="single"/>
        </w:rPr>
        <w:t xml:space="preserve">www.10000шагов</w:t>
      </w:r>
      <w:r>
        <w:rPr>
          <w:rFonts w:ascii="Times New Roman" w:hAnsi="Times New Roman" w:eastAsia="Times New Roman"/>
          <w:color w:val="0563C1"/>
          <w:sz w:val="24"/>
          <w:szCs w:val="24"/>
          <w:u w:val="single"/>
        </w:rPr>
        <w:t xml:space="preserve">.рф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). </w:t>
      </w: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Регистрация будет открыта с 07 июня 2023 года.</w:t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Информация об итогах Акции в регионах (количество участников, открытых маршрутах) для обобщения и подведения общих итогов, направляется в адрес Лиги здоровья нации в 3-х дневный срок после проведения акции (E-mail: </w:t>
      </w:r>
      <w:r>
        <w:fldChar w:fldCharType="begin"/>
      </w:r>
      <w:r>
        <w:instrText xml:space="preserve"> HYPERLINK "mailto:partner@ligazn.ru" \h </w:instrText>
      </w:r>
      <w:r>
        <w:fldChar w:fldCharType="separate"/>
      </w:r>
      <w:r>
        <w:rPr>
          <w:rFonts w:ascii="Times New Roman" w:hAnsi="Times New Roman" w:eastAsia="Times New Roman"/>
          <w:color w:val="0563C1"/>
          <w:sz w:val="24"/>
          <w:szCs w:val="24"/>
          <w:u w:val="single"/>
        </w:rPr>
        <w:t xml:space="preserve">partner@ligazn.ru</w:t>
      </w:r>
      <w:r>
        <w:rPr>
          <w:rFonts w:ascii="Times New Roman" w:hAnsi="Times New Roman" w:eastAsia="Times New Roman"/>
          <w:color w:val="0563C1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) и размещается на сайте Лиги.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Справ</w:t>
      </w: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ка:</w:t>
      </w:r>
      <w:r>
        <w:rPr>
          <w:rFonts w:ascii="Times New Roman" w:hAnsi="Times New Roman" w:eastAsia="Times New Roman"/>
          <w:b/>
          <w:color w:val="342E2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С 2015 года на различных площадках страны проводится Всероссийская акция «10 000 шагов к жизни», которая является базовым элементом Общероссийской общественной программы Лиги здоровья нации - «Здоровый муниципалитет». Программа направлена на развитие и пропаганду естественных методов оздоровления и проводится под девизом «Наилучшее здоровье с наименьшими затратами».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Акция «10 000 шагов к жизни»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 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p>
      <w:pPr>
        <w:pStyle w:val="Normal"/>
        <w:pBdr>
          <w:top w:val="none"/>
          <w:left w:val="none"/>
          <w:bottom w:val="none"/>
          <w:right w:val="none"/>
          <w:between w:val="none"/>
        </w:pBdr>
        <w:ind w:firstLine="708"/>
        <w:jc w:val="both"/>
        <w:rPr>
          <w:rFonts w:ascii="Times New Roman" w:hAnsi="Times New Roman" w:eastAsia="Times New Roman"/>
          <w:color w:val="342E2F"/>
          <w:sz w:val="24"/>
          <w:szCs w:val="24"/>
        </w:rPr>
      </w:pPr>
      <w:r>
        <w:rPr>
          <w:rFonts w:ascii="Times New Roman" w:hAnsi="Times New Roman" w:eastAsia="Times New Roman"/>
          <w:color w:val="342E2F"/>
          <w:sz w:val="24"/>
          <w:szCs w:val="24"/>
        </w:rPr>
        <w:t xml:space="preserve">4 апреля 2021 года, по инициативе Общероссийской общественной организации «Лига здоровья нации» и Общероссийского Конгресса муниципальных образований на территориях более 500 муниципальных образований были открыты Маршруты здоровья «10 000 шагов» и прошла Всероссийская акция «10 000 шагов к жизни», приуроченная к Всемирному дню здоровья. Только зарегистрировано было более миллиона человек.</w:t>
      </w:r>
      <w:r>
        <w:rPr>
          <w:rFonts w:ascii="Times New Roman" w:hAnsi="Times New Roman" w:eastAsia="Times New Roman"/>
          <w:color w:val="342E2F"/>
          <w:sz w:val="24"/>
          <w:szCs w:val="24"/>
        </w:rPr>
      </w:r>
    </w:p>
    <w:sectPr>
      <w:type w:val="nextPage"/>
      <w:pgSz w:w="11906" w:h="16838"/>
      <w:pgMar w:top="709" w:right="850" w:bottom="1702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noto sans symbols">
    <w:panose1 w:val="020B0502040504020204"/>
  </w:font>
  <w:font w:name="Georgia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pStyle w:val="Normal"/>
        <w:ind w:left="720" w:hanging="360"/>
      </w:pPr>
      <w:rPr>
        <w:rFonts w:ascii="Noto Sans Symbols" w:hAnsi="Noto Sans Symbols" w:eastAsia="Noto Sans Symbols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eastAsia="Courier New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160" w:hanging="360"/>
      </w:pPr>
      <w:rPr>
        <w:rFonts w:ascii="Noto Sans Symbols" w:hAnsi="Noto Sans Symbols" w:eastAsia="Noto Sans Symbols"/>
        <w:vertAlign w:val="baseline"/>
      </w:rPr>
    </w:lvl>
    <w:lvl w:ilvl="3">
      <w:start w:val="1"/>
      <w:numFmt w:val="bullet"/>
      <w:suff w:val="tab"/>
      <w:lvlText w:val="●"/>
      <w:lvlJc w:val="left"/>
      <w:pPr>
        <w:pStyle w:val="Normal"/>
        <w:ind w:left="2880" w:hanging="360"/>
      </w:pPr>
      <w:rPr>
        <w:rFonts w:ascii="Noto Sans Symbols" w:hAnsi="Noto Sans Symbols" w:eastAsia="Noto Sans Symbols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eastAsia="Courier New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320" w:hanging="360"/>
      </w:pPr>
      <w:rPr>
        <w:rFonts w:ascii="Noto Sans Symbols" w:hAnsi="Noto Sans Symbols" w:eastAsia="Noto Sans Symbols"/>
        <w:vertAlign w:val="baseline"/>
      </w:rPr>
    </w:lvl>
    <w:lvl w:ilvl="6">
      <w:start w:val="1"/>
      <w:numFmt w:val="bullet"/>
      <w:suff w:val="tab"/>
      <w:lvlText w:val="●"/>
      <w:lvlJc w:val="left"/>
      <w:pPr>
        <w:pStyle w:val="Normal"/>
        <w:ind w:left="5040" w:hanging="360"/>
      </w:pPr>
      <w:rPr>
        <w:rFonts w:ascii="Noto Sans Symbols" w:hAnsi="Noto Sans Symbols" w:eastAsia="Noto Sans Symbols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eastAsia="Courier New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480" w:hanging="360"/>
      </w:pPr>
      <w:rPr>
        <w:rFonts w:ascii="Noto Sans Symbols" w:hAnsi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pStyle w:val="Normal"/>
        <w:ind w:left="720" w:hanging="360"/>
      </w:pPr>
      <w:rPr>
        <w:rFonts w:ascii="Noto Sans Symbols" w:hAnsi="Noto Sans Symbols" w:eastAsia="Noto Sans Symbols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eastAsia="Courier New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160" w:hanging="360"/>
      </w:pPr>
      <w:rPr>
        <w:rFonts w:ascii="Noto Sans Symbols" w:hAnsi="Noto Sans Symbols" w:eastAsia="Noto Sans Symbols"/>
        <w:vertAlign w:val="baseline"/>
      </w:rPr>
    </w:lvl>
    <w:lvl w:ilvl="3">
      <w:start w:val="1"/>
      <w:numFmt w:val="bullet"/>
      <w:suff w:val="tab"/>
      <w:lvlText w:val="●"/>
      <w:lvlJc w:val="left"/>
      <w:pPr>
        <w:pStyle w:val="Normal"/>
        <w:ind w:left="2880" w:hanging="360"/>
      </w:pPr>
      <w:rPr>
        <w:rFonts w:ascii="Noto Sans Symbols" w:hAnsi="Noto Sans Symbols" w:eastAsia="Noto Sans Symbols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eastAsia="Courier New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320" w:hanging="360"/>
      </w:pPr>
      <w:rPr>
        <w:rFonts w:ascii="Noto Sans Symbols" w:hAnsi="Noto Sans Symbols" w:eastAsia="Noto Sans Symbols"/>
        <w:vertAlign w:val="baseline"/>
      </w:rPr>
    </w:lvl>
    <w:lvl w:ilvl="6">
      <w:start w:val="1"/>
      <w:numFmt w:val="bullet"/>
      <w:suff w:val="tab"/>
      <w:lvlText w:val="●"/>
      <w:lvlJc w:val="left"/>
      <w:pPr>
        <w:pStyle w:val="Normal"/>
        <w:ind w:left="5040" w:hanging="360"/>
      </w:pPr>
      <w:rPr>
        <w:rFonts w:ascii="Noto Sans Symbols" w:hAnsi="Noto Sans Symbols" w:eastAsia="Noto Sans Symbols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eastAsia="Courier New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480" w:hanging="360"/>
      </w:pPr>
      <w:rPr>
        <w:rFonts w:ascii="Noto Sans Symbols" w:hAnsi="Noto Sans Symbols" w:eastAsia="Noto Sans Symbols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pStyle w:val="Normal"/>
        <w:ind w:left="720" w:hanging="360"/>
      </w:pPr>
      <w:rPr>
        <w:rFonts w:ascii="Noto Sans Symbols" w:hAnsi="Noto Sans Symbols" w:eastAsia="Noto Sans Symbols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eastAsia="Courier New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160" w:hanging="360"/>
      </w:pPr>
      <w:rPr>
        <w:rFonts w:ascii="Noto Sans Symbols" w:hAnsi="Noto Sans Symbols" w:eastAsia="Noto Sans Symbols"/>
        <w:vertAlign w:val="baseline"/>
      </w:rPr>
    </w:lvl>
    <w:lvl w:ilvl="3">
      <w:start w:val="1"/>
      <w:numFmt w:val="bullet"/>
      <w:suff w:val="tab"/>
      <w:lvlText w:val="●"/>
      <w:lvlJc w:val="left"/>
      <w:pPr>
        <w:pStyle w:val="Normal"/>
        <w:ind w:left="2880" w:hanging="360"/>
      </w:pPr>
      <w:rPr>
        <w:rFonts w:ascii="Noto Sans Symbols" w:hAnsi="Noto Sans Symbols" w:eastAsia="Noto Sans Symbols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eastAsia="Courier New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320" w:hanging="360"/>
      </w:pPr>
      <w:rPr>
        <w:rFonts w:ascii="Noto Sans Symbols" w:hAnsi="Noto Sans Symbols" w:eastAsia="Noto Sans Symbols"/>
        <w:vertAlign w:val="baseline"/>
      </w:rPr>
    </w:lvl>
    <w:lvl w:ilvl="6">
      <w:start w:val="1"/>
      <w:numFmt w:val="bullet"/>
      <w:suff w:val="tab"/>
      <w:lvlText w:val="●"/>
      <w:lvlJc w:val="left"/>
      <w:pPr>
        <w:pStyle w:val="Normal"/>
        <w:ind w:left="5040" w:hanging="360"/>
      </w:pPr>
      <w:rPr>
        <w:rFonts w:ascii="Noto Sans Symbols" w:hAnsi="Noto Sans Symbols" w:eastAsia="Noto Sans Symbols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eastAsia="Courier New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480" w:hanging="360"/>
      </w:pPr>
      <w:rPr>
        <w:rFonts w:ascii="Noto Sans Symbols" w:hAnsi="Noto Sans Symbols" w:eastAsia="Noto Sans Symbols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pStyle w:val="Normal"/>
        <w:ind w:left="720" w:hanging="360"/>
      </w:pPr>
      <w:rPr>
        <w:rFonts w:ascii="Noto Sans Symbols" w:hAnsi="Noto Sans Symbols" w:eastAsia="Noto Sans Symbols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eastAsia="Courier New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160" w:hanging="360"/>
      </w:pPr>
      <w:rPr>
        <w:rFonts w:ascii="Noto Sans Symbols" w:hAnsi="Noto Sans Symbols" w:eastAsia="Noto Sans Symbols"/>
        <w:vertAlign w:val="baseline"/>
      </w:rPr>
    </w:lvl>
    <w:lvl w:ilvl="3">
      <w:start w:val="1"/>
      <w:numFmt w:val="bullet"/>
      <w:suff w:val="tab"/>
      <w:lvlText w:val="●"/>
      <w:lvlJc w:val="left"/>
      <w:pPr>
        <w:pStyle w:val="Normal"/>
        <w:ind w:left="2880" w:hanging="360"/>
      </w:pPr>
      <w:rPr>
        <w:rFonts w:ascii="Noto Sans Symbols" w:hAnsi="Noto Sans Symbols" w:eastAsia="Noto Sans Symbols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eastAsia="Courier New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320" w:hanging="360"/>
      </w:pPr>
      <w:rPr>
        <w:rFonts w:ascii="Noto Sans Symbols" w:hAnsi="Noto Sans Symbols" w:eastAsia="Noto Sans Symbols"/>
        <w:vertAlign w:val="baseline"/>
      </w:rPr>
    </w:lvl>
    <w:lvl w:ilvl="6">
      <w:start w:val="1"/>
      <w:numFmt w:val="bullet"/>
      <w:suff w:val="tab"/>
      <w:lvlText w:val="●"/>
      <w:lvlJc w:val="left"/>
      <w:pPr>
        <w:pStyle w:val="Normal"/>
        <w:ind w:left="5040" w:hanging="360"/>
      </w:pPr>
      <w:rPr>
        <w:rFonts w:ascii="Noto Sans Symbols" w:hAnsi="Noto Sans Symbols" w:eastAsia="Noto Sans Symbols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eastAsia="Courier New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480" w:hanging="360"/>
      </w:pPr>
      <w:rPr>
        <w:rFonts w:ascii="Noto Sans Symbols" w:hAnsi="Noto Sans Symbols" w:eastAsia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Заголовок 2"/>
    <w:basedOn w:val="Normal"/>
    <w:next w:val="Normal"/>
    <w:link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Заголовок 3"/>
    <w:basedOn w:val="Normal"/>
    <w:next w:val="Normal"/>
    <w:link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Заголовок 4"/>
    <w:basedOn w:val="Normal"/>
    <w:next w:val="Normal"/>
    <w:link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Заголовок 5"/>
    <w:basedOn w:val="Normal"/>
    <w:next w:val="Normal"/>
    <w:link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Заголовок 6"/>
    <w:basedOn w:val="Normal"/>
    <w:next w:val="Normal"/>
    <w:link w:val="Normal"/>
    <w:pPr>
      <w:keepNext/>
      <w:keepLines/>
      <w:spacing w:before="200" w:after="40"/>
      <w:outlineLvl w:val="5"/>
    </w:pPr>
    <w:rPr>
      <w:b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UserStyle_0">
    <w:name w:val="Table Normal"/>
    <w:next w:val="UserStyle_0"/>
    <w:link w:val="Normal"/>
    <w:rPr>
      <w:lang w:val="ru-RU" w:bidi="ar-SA" w:eastAsia="ru-RU"/>
    </w:rPr>
  </w:style>
  <w:style w:type="paragraph" w:styleId="Title">
    <w:name w:val="Заголовок"/>
    <w:basedOn w:val="Normal"/>
    <w:next w:val="Normal"/>
    <w:link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Подзаголовок"/>
    <w:basedOn w:val="Normal"/>
    <w:next w:val="Normal"/>
    <w:link w:val="Normal"/>
    <w:pPr>
      <w:keepNext/>
      <w:keepLines/>
      <w:spacing w:before="360" w:after="80"/>
    </w:pPr>
    <w:rPr>
      <w:rFonts w:ascii="Georgia" w:hAnsi="Georgia" w:eastAsia="Georgia"/>
      <w:i/>
      <w:color w:val="666666"/>
      <w:sz w:val="48"/>
      <w:szCs w:val="48"/>
    </w:rPr>
  </w:style>
  <w:style w:type="character" w:styleId="Hyperlink">
    <w:name w:val="Гиперссылка"/>
    <w:next w:val="Hyperlink"/>
    <w:link w:val="Normal"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